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908E8" w14:textId="77777777" w:rsidR="00151EDC" w:rsidRDefault="00000000">
      <w:pPr>
        <w:pBdr>
          <w:top w:val="nil"/>
          <w:left w:val="nil"/>
          <w:bottom w:val="nil"/>
          <w:right w:val="nil"/>
          <w:between w:val="nil"/>
        </w:pBdr>
        <w:spacing w:after="0" w:line="240" w:lineRule="auto"/>
        <w:rPr>
          <w:rFonts w:ascii="Crimson Text" w:eastAsia="Crimson Text" w:hAnsi="Crimson Text" w:cs="Crimson Text"/>
          <w:i/>
          <w:iCs/>
          <w:color w:val="5B0505"/>
          <w:sz w:val="22"/>
          <w:szCs w:val="22"/>
        </w:rPr>
      </w:pPr>
      <w:r>
        <w:rPr>
          <w:rFonts w:ascii="Crimson Text" w:eastAsia="Crimson Text" w:hAnsi="Crimson Text" w:cs="Crimson Text"/>
          <w:i/>
          <w:iCs/>
          <w:color w:val="5B0505"/>
          <w:sz w:val="22"/>
          <w:szCs w:val="22"/>
        </w:rPr>
        <w:t>Governance and Global Power</w:t>
      </w:r>
    </w:p>
    <w:p w14:paraId="0907A5AB" w14:textId="77777777" w:rsidR="00151EDC" w:rsidRDefault="00000000">
      <w:pPr>
        <w:pStyle w:val="Title"/>
        <w:spacing w:line="240" w:lineRule="auto"/>
        <w:jc w:val="left"/>
        <w:rPr>
          <w:b w:val="0"/>
          <w:bCs w:val="0"/>
          <w:i/>
          <w:iCs/>
          <w:sz w:val="40"/>
          <w:szCs w:val="40"/>
        </w:rPr>
      </w:pPr>
      <w:r>
        <w:rPr>
          <w:b w:val="0"/>
          <w:bCs w:val="0"/>
        </w:rPr>
        <w:t xml:space="preserve">| </w:t>
      </w:r>
      <w:r>
        <w:rPr>
          <w:b w:val="0"/>
          <w:bCs w:val="0"/>
          <w:sz w:val="40"/>
          <w:szCs w:val="40"/>
        </w:rPr>
        <w:t>Does the World Need the United Nations? Analyzing the Organization’s Roles, Bodies, and Effectiveness</w:t>
      </w:r>
    </w:p>
    <w:p w14:paraId="056B4E7E" w14:textId="77777777" w:rsidR="00151EDC" w:rsidRDefault="00000000">
      <w:pPr>
        <w:pStyle w:val="Subtitle"/>
        <w:spacing w:line="240" w:lineRule="auto"/>
        <w:jc w:val="left"/>
      </w:pPr>
      <w:r>
        <w:rPr>
          <w:rFonts w:ascii="Crimson Text" w:eastAsia="Crimson Text" w:hAnsi="Crimson Text" w:cs="Crimson Text"/>
          <w:sz w:val="28"/>
          <w:szCs w:val="28"/>
        </w:rPr>
        <w:t>Aryan Sharifi</w:t>
      </w:r>
      <w:r>
        <w:rPr>
          <w:noProof/>
        </w:rPr>
        <mc:AlternateContent>
          <mc:Choice Requires="wpg">
            <w:drawing>
              <wp:anchor distT="0" distB="0" distL="114300" distR="114300" simplePos="0" relativeHeight="251658240" behindDoc="0" locked="0" layoutInCell="1" hidden="0" allowOverlap="1" wp14:anchorId="7FD46A94" wp14:editId="1309A0E9">
                <wp:simplePos x="0" y="0"/>
                <wp:positionH relativeFrom="column">
                  <wp:posOffset>2038350</wp:posOffset>
                </wp:positionH>
                <wp:positionV relativeFrom="paragraph">
                  <wp:posOffset>2556510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7A0808"/>
                          </a:solidFill>
                          <a:prstDash val="solid"/>
                          <a:round/>
                          <a:headEnd type="none" w="sm" len="sm"/>
                          <a:tailEnd type="none" w="sm" len="sm"/>
                        </a:ln>
                        <a:effectLst>
                          <a:outerShdw blurRad="40000" dist="20000" dir="5400000" rotWithShape="0">
                            <a:srgbClr val="000000">
                              <a:alpha val="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p>
    <w:p w14:paraId="00AEE230" w14:textId="77777777" w:rsidR="00151EDC" w:rsidRDefault="00000000">
      <w:pPr>
        <w:pStyle w:val="Subtitle"/>
        <w:spacing w:line="240" w:lineRule="auto"/>
        <w:jc w:val="left"/>
        <w:rPr>
          <w:rFonts w:ascii="Times New Roman" w:eastAsia="Times New Roman" w:hAnsi="Times New Roman" w:cs="Times New Roman"/>
          <w:color w:val="000000"/>
          <w:sz w:val="22"/>
          <w:szCs w:val="22"/>
        </w:rPr>
      </w:pPr>
      <w:bookmarkStart w:id="0" w:name="_s5b6hkpm2cvz" w:colFirst="0" w:colLast="0"/>
      <w:bookmarkEnd w:id="0"/>
      <w:r>
        <w:rPr>
          <w:rFonts w:ascii="Times New Roman" w:eastAsia="Times New Roman" w:hAnsi="Times New Roman" w:cs="Times New Roman"/>
          <w:b/>
          <w:bCs/>
          <w:i w:val="0"/>
          <w:iCs w:val="0"/>
          <w:sz w:val="22"/>
          <w:szCs w:val="22"/>
        </w:rPr>
        <w:t xml:space="preserve">Keywords: </w:t>
      </w:r>
      <w:r>
        <w:rPr>
          <w:rFonts w:ascii="Times New Roman" w:eastAsia="Times New Roman" w:hAnsi="Times New Roman" w:cs="Times New Roman"/>
          <w:color w:val="000000"/>
          <w:sz w:val="22"/>
          <w:szCs w:val="22"/>
        </w:rPr>
        <w:t>United Nations, international cooperation, international law, multilateralism, peace</w:t>
      </w:r>
    </w:p>
    <w:p w14:paraId="5027F792" w14:textId="77777777" w:rsidR="00151EDC" w:rsidRDefault="00000000">
      <w:r>
        <w:rPr>
          <w:noProof/>
        </w:rPr>
        <w:drawing>
          <wp:anchor distT="114300" distB="114300" distL="114300" distR="114300" simplePos="0" relativeHeight="251659264" behindDoc="0" locked="0" layoutInCell="1" hidden="0" allowOverlap="1" wp14:anchorId="736EC8C2" wp14:editId="7C18AA91">
            <wp:simplePos x="0" y="0"/>
            <wp:positionH relativeFrom="column">
              <wp:posOffset>19051</wp:posOffset>
            </wp:positionH>
            <wp:positionV relativeFrom="paragraph">
              <wp:posOffset>352425</wp:posOffset>
            </wp:positionV>
            <wp:extent cx="5900738" cy="4453922"/>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00738" cy="4453922"/>
                    </a:xfrm>
                    <a:prstGeom prst="rect">
                      <a:avLst/>
                    </a:prstGeom>
                    <a:ln/>
                  </pic:spPr>
                </pic:pic>
              </a:graphicData>
            </a:graphic>
          </wp:anchor>
        </w:drawing>
      </w:r>
    </w:p>
    <w:p w14:paraId="2851755B" w14:textId="77777777" w:rsidR="00151EDC" w:rsidRDefault="00151EDC">
      <w:pPr>
        <w:pStyle w:val="Subtitle"/>
        <w:spacing w:after="0" w:line="360" w:lineRule="auto"/>
        <w:jc w:val="both"/>
        <w:rPr>
          <w:rFonts w:ascii="Times New Roman" w:eastAsia="Times New Roman" w:hAnsi="Times New Roman" w:cs="Times New Roman"/>
          <w:color w:val="000000"/>
          <w:sz w:val="22"/>
          <w:szCs w:val="22"/>
        </w:rPr>
      </w:pPr>
    </w:p>
    <w:p w14:paraId="580FF6C7" w14:textId="77777777" w:rsidR="00151EDC" w:rsidRDefault="00000000">
      <w:pPr>
        <w:pStyle w:val="Subtitle"/>
        <w:spacing w:after="0" w:line="360" w:lineRule="auto"/>
        <w:jc w:val="both"/>
        <w:rPr>
          <w:color w:val="000000"/>
          <w:sz w:val="21"/>
          <w:szCs w:val="21"/>
        </w:rPr>
      </w:pPr>
      <w:r>
        <w:rPr>
          <w:color w:val="000000"/>
          <w:sz w:val="21"/>
          <w:szCs w:val="21"/>
        </w:rPr>
        <w:br/>
      </w:r>
    </w:p>
    <w:p w14:paraId="777B1E82" w14:textId="77777777" w:rsidR="00151EDC" w:rsidRDefault="00151EDC"/>
    <w:p w14:paraId="494E68D9" w14:textId="77777777" w:rsidR="00151EDC" w:rsidRDefault="00151EDC"/>
    <w:p w14:paraId="60191DD4" w14:textId="77777777" w:rsidR="00151EDC" w:rsidRDefault="00000000">
      <w:pPr>
        <w:pStyle w:val="Subtitle"/>
        <w:spacing w:after="0" w:line="360" w:lineRule="auto"/>
        <w:jc w:val="both"/>
        <w:rPr>
          <w:rFonts w:ascii="Crimson Text" w:eastAsia="Crimson Text" w:hAnsi="Crimson Text" w:cs="Crimson Text"/>
          <w:b/>
          <w:bCs/>
          <w:color w:val="000000"/>
          <w:sz w:val="21"/>
          <w:szCs w:val="21"/>
        </w:rPr>
      </w:pPr>
      <w:r>
        <w:rPr>
          <w:rFonts w:ascii="Crimson Text" w:eastAsia="Crimson Text" w:hAnsi="Crimson Text" w:cs="Crimson Text"/>
          <w:b/>
          <w:bCs/>
          <w:sz w:val="40"/>
          <w:szCs w:val="40"/>
        </w:rPr>
        <w:lastRenderedPageBreak/>
        <w:t>Introduction</w:t>
      </w:r>
      <w:r>
        <w:rPr>
          <w:rFonts w:ascii="Crimson Text" w:eastAsia="Crimson Text" w:hAnsi="Crimson Text" w:cs="Crimson Text"/>
          <w:b/>
          <w:bCs/>
          <w:sz w:val="40"/>
          <w:szCs w:val="40"/>
        </w:rPr>
        <w:tab/>
      </w:r>
    </w:p>
    <w:p w14:paraId="3E9A356B" w14:textId="77777777" w:rsidR="00151EDC" w:rsidRDefault="00000000">
      <w:pPr>
        <w:pStyle w:val="Subtitle"/>
        <w:spacing w:after="0" w:line="480" w:lineRule="auto"/>
        <w:jc w:val="both"/>
        <w:rPr>
          <w:rFonts w:ascii="Times New Roman" w:eastAsia="Times New Roman" w:hAnsi="Times New Roman" w:cs="Times New Roman"/>
          <w:i w:val="0"/>
          <w:iCs w:val="0"/>
          <w:color w:val="000000"/>
        </w:rPr>
      </w:pPr>
      <w:r>
        <w:rPr>
          <w:rFonts w:ascii="Crimson Text" w:eastAsia="Crimson Text" w:hAnsi="Crimson Text" w:cs="Crimson Text"/>
          <w:b/>
          <w:bCs/>
          <w:color w:val="000000"/>
          <w:sz w:val="21"/>
          <w:szCs w:val="21"/>
        </w:rPr>
        <w:tab/>
      </w:r>
      <w:r>
        <w:rPr>
          <w:rFonts w:ascii="Times New Roman" w:eastAsia="Times New Roman" w:hAnsi="Times New Roman" w:cs="Times New Roman"/>
          <w:i w:val="0"/>
          <w:iCs w:val="0"/>
          <w:color w:val="000000"/>
        </w:rPr>
        <w:t>Since its inception in 1945, the United Nations (UN) has been viewed as a bastion of peace. Increasingly, however, many of the UN’s member states have been calling its effectiveness into question, especially since it costs 53 billion dollars to maintain (UN System Chief Executives Board for Coordination, n.d.). Most notably, the UN’s chief financial contributor, the United States (US), faces growing domestic pressure to decrease the amount of taxpayer money going into the organization. Moreover, many (mainly Republican) Americans believe that most UN treaties and policies are not in accordance with US interests. American discontent with the intergovernmental institution materialized during Trump’s first term as president (Council on Foreign Relations, 2024). While in power, Donald Trump suspended and cut funding to several UN agencies, including the UN Population Fund, the UN Program on HIV/AIDS, the World Health Organization, and the UN Relief and Works Agency for Palestine Refugees. Additionally, the Trump administration withdrew from the UN Educational, Scientific and Cultural Organization, UN Human Rights Council and the 2015 Paris Climate Agreement (Daley, 2020; Finoh, 2018). Although Joe Biden’s administration reversed most of these decisions, Donald Trump, having been re-elected following the 2024 US presidential election, has once again embarked upon a policy of withdrawal and disengagement not too different from his first term in office.</w:t>
      </w:r>
    </w:p>
    <w:p w14:paraId="3D0016D3" w14:textId="77777777" w:rsidR="00151EDC" w:rsidRDefault="00000000">
      <w:pPr>
        <w:pStyle w:val="Subtitle"/>
        <w:spacing w:after="0" w:line="479" w:lineRule="auto"/>
        <w:ind w:firstLine="720"/>
        <w:jc w:val="both"/>
        <w:rPr>
          <w:rFonts w:ascii="Times New Roman" w:eastAsia="Times New Roman" w:hAnsi="Times New Roman" w:cs="Times New Roman"/>
        </w:rPr>
      </w:pPr>
      <w:bookmarkStart w:id="1" w:name="_f1u8jcnxat1i" w:colFirst="0" w:colLast="0"/>
      <w:bookmarkEnd w:id="1"/>
      <w:r>
        <w:rPr>
          <w:rFonts w:ascii="Times New Roman" w:eastAsia="Times New Roman" w:hAnsi="Times New Roman" w:cs="Times New Roman"/>
          <w:i w:val="0"/>
          <w:iCs w:val="0"/>
          <w:color w:val="000000"/>
        </w:rPr>
        <w:t xml:space="preserve">Political leaders such as Donald Trump claim that the UN, in its current form, is ineffective and constantly underperforms (Rascoe, 2017). Is there truth to such claims? If there is, especially since it is so costly to maintain, does the world really need the United Nations? This paper will evaluate the central bodies and roles of the United Nations, whether it has been successful in fulfilling those roles, and how the political context of the UN’s operation affects the use of its powers. This essay will argue that, despite its weaknesses, the United Nations is necessary because </w:t>
      </w:r>
      <w:r>
        <w:rPr>
          <w:rFonts w:ascii="Times New Roman" w:eastAsia="Times New Roman" w:hAnsi="Times New Roman" w:cs="Times New Roman"/>
          <w:i w:val="0"/>
          <w:iCs w:val="0"/>
          <w:color w:val="000000"/>
        </w:rPr>
        <w:lastRenderedPageBreak/>
        <w:t>it fosters international cooperation, maintains international peace and security, and promotes international law (United Nations, 2017, 4–5).</w:t>
      </w:r>
    </w:p>
    <w:p w14:paraId="47786508" w14:textId="77777777" w:rsidR="00151EDC" w:rsidRDefault="00151EDC"/>
    <w:p w14:paraId="70C8CF93" w14:textId="77777777" w:rsidR="00151EDC" w:rsidRDefault="00000000">
      <w:pPr>
        <w:pStyle w:val="Subtitle"/>
        <w:spacing w:after="0" w:line="360" w:lineRule="auto"/>
        <w:jc w:val="both"/>
        <w:rPr>
          <w:rFonts w:ascii="Times New Roman" w:eastAsia="Times New Roman" w:hAnsi="Times New Roman" w:cs="Times New Roman"/>
        </w:rPr>
      </w:pPr>
      <w:bookmarkStart w:id="2" w:name="_pxq4xego277e" w:colFirst="0" w:colLast="0"/>
      <w:bookmarkEnd w:id="2"/>
      <w:r>
        <w:rPr>
          <w:rFonts w:ascii="Crimson Text" w:eastAsia="Crimson Text" w:hAnsi="Crimson Text" w:cs="Crimson Text"/>
          <w:b/>
          <w:bCs/>
          <w:sz w:val="40"/>
          <w:szCs w:val="40"/>
        </w:rPr>
        <w:t>International Cooperation</w:t>
      </w:r>
    </w:p>
    <w:p w14:paraId="62D03B47" w14:textId="77777777" w:rsidR="00151EDC"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United Nations is instrumental in fostering international cooperation, and it</w:t>
      </w:r>
      <w:r>
        <w:rPr>
          <w:rFonts w:ascii="Times New Roman" w:eastAsia="Times New Roman" w:hAnsi="Times New Roman" w:cs="Times New Roman"/>
          <w:color w:val="65B4B4"/>
          <w:sz w:val="24"/>
          <w:szCs w:val="24"/>
          <w:u w:val="single"/>
        </w:rPr>
        <w:t xml:space="preserve"> </w:t>
      </w:r>
      <w:r>
        <w:rPr>
          <w:rFonts w:ascii="Times New Roman" w:eastAsia="Times New Roman" w:hAnsi="Times New Roman" w:cs="Times New Roman"/>
          <w:sz w:val="24"/>
          <w:szCs w:val="24"/>
        </w:rPr>
        <w:t>accomplishes</w:t>
      </w:r>
      <w:r>
        <w:rPr>
          <w:rFonts w:ascii="Times New Roman" w:eastAsia="Times New Roman" w:hAnsi="Times New Roman" w:cs="Times New Roman"/>
          <w:color w:val="FF4B4B"/>
          <w:sz w:val="24"/>
          <w:szCs w:val="24"/>
        </w:rPr>
        <w:t xml:space="preserve"> </w:t>
      </w:r>
      <w:r>
        <w:rPr>
          <w:rFonts w:ascii="Times New Roman" w:eastAsia="Times New Roman" w:hAnsi="Times New Roman" w:cs="Times New Roman"/>
          <w:sz w:val="24"/>
          <w:szCs w:val="24"/>
        </w:rPr>
        <w:t>this through the General Assembly (UNGA) (United Nations, 2017, 4–5). Comprised of 193 members, each representing a nation-state, “the General Assembly is the organization’s main deliberative body, addressing a varied and large number of agenda items during its regular three-month session, held from September to December, and in follow-up sessions in succeeding months” (Fasulo, 2021, 84). During these three months, member states vote on a variety of issues ranging from the UN budget itself to humanitarian, economic and security matters (Hanhimäki, 2015, 35). Every country has one vote, and resolutions are passed by a simple majority—except for decisions on “peace and security, admission of new members, and budgetary matters,” which require a two-thirds majority (35).</w:t>
      </w:r>
    </w:p>
    <w:p w14:paraId="697EFCD0"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forum, countries have the opportunity to debate key issues in world politics within an established framework of rules, norms and procedures (Weiss &amp; Daws, 2018). This feature of the General Assembly significantly reduces the transaction costs associated with cooperation (Keohane, 1984, 89–90). Transaction costs entail both temporal and financial dimensions. If countries were to conduct negotiations without international regimes such as the UN General Assembly, it would cost them far more than it does now because the Assembly’s established “principles and rules can be applied to a wide variety of particular issues,” making it unnecessary to renegotiate the basics every time a new problem arises (p. 90). In this way, the United Nations encourages international cooperation.</w:t>
      </w:r>
    </w:p>
    <w:p w14:paraId="47B5B897"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pertinent example of the United Nations’ vitality in cooperation is the 2015 Paris Climate Agreement. In response to the rising threat of climate change, world</w:t>
      </w:r>
      <w:r>
        <w:rPr>
          <w:rFonts w:ascii="Times New Roman" w:eastAsia="Times New Roman" w:hAnsi="Times New Roman" w:cs="Times New Roman"/>
          <w:color w:val="FF4B4B"/>
          <w:sz w:val="24"/>
          <w:szCs w:val="24"/>
        </w:rPr>
        <w:t xml:space="preserve"> </w:t>
      </w:r>
      <w:r>
        <w:rPr>
          <w:rFonts w:ascii="Times New Roman" w:eastAsia="Times New Roman" w:hAnsi="Times New Roman" w:cs="Times New Roman"/>
          <w:sz w:val="24"/>
          <w:szCs w:val="24"/>
        </w:rPr>
        <w:t>leaders banded together and agreed upon a set of measures to combat global warming in the 2015 Paris Conference (Mingst et. al, 2022, 283). Convened by the United Nations Framework Convention on Climate Change at the 21st Conference of the Parties, signatories of the Paris Climate Agreement pledged to keep global warming beneath 2°C, abandon fossil fuels by 2050, preserve forests, set ambitious targets to reduce their greenhouse gas emissions and provide updates regarding their progress, and support developing countries in adopting “greener economies” (284). Such a historical accord was only made possible through the UN’s diplomatic channels, enabling actors to coordinate their efforts.</w:t>
      </w:r>
    </w:p>
    <w:p w14:paraId="21774A74"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commonly levelled criticism against the General Assembly’s resolutions is that their nonbinding characteristics render them useless. Nonbinding resolutions are not legally enforceable, so nation-states can choose not to follow them. The inability to enforce UNGA resolutions is a product of the political context in which states operate, rather than a flaw in the Assembly. Realist International Relations scholarship defines the world as anarchic, since there is no global governing body to enforce laws and punish violators (Weiss &amp; Daws, 2018, 3). In principle, all nation-states should recognize one another as equal and sovereign within the global sphere. Sovereignty grants states the right to self-determination and freedom from external interference. Violation of a nation-state’s sovereignty is seen as an act of war (7–9).</w:t>
      </w:r>
    </w:p>
    <w:p w14:paraId="7870168F"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Recognizing the importance of this concept in cultivating global peace, the United Nations enshrined the principle of sovereignty within its charter (United Nations, 2017, 4–5). Accordingly, there is concern that if the majority of the UNGA’s resolutions were to become legally binding, it could provoke war, which is the opposite of what the UNGA is meant to do. A lack of enforceability, however, does not render the motions useless, as they carry significant moral weight and norm-setting power (Mingst et. al, 2022, 29). Due to the fact that the United Nations </w:t>
      </w:r>
      <w:r>
        <w:rPr>
          <w:rFonts w:ascii="Times New Roman" w:eastAsia="Times New Roman" w:hAnsi="Times New Roman" w:cs="Times New Roman"/>
          <w:sz w:val="24"/>
          <w:szCs w:val="24"/>
        </w:rPr>
        <w:lastRenderedPageBreak/>
        <w:t>is widely accepted as a legitimate entity, states are expected to comply with UNGA’s resolutions, even though they are nonbinding. Those nation-states that go against the rulings risk damaging their reputation in the international community, which can prevent other countries from trusting them as potential future partners. Along these lines, UNGA declarations</w:t>
      </w:r>
      <w:r>
        <w:rPr>
          <w:rFonts w:ascii="Times New Roman" w:eastAsia="Times New Roman" w:hAnsi="Times New Roman" w:cs="Times New Roman"/>
          <w:color w:val="65B4B4"/>
          <w:sz w:val="24"/>
          <w:szCs w:val="24"/>
        </w:rPr>
        <w:t xml:space="preserve"> </w:t>
      </w:r>
      <w:r>
        <w:rPr>
          <w:rFonts w:ascii="Times New Roman" w:eastAsia="Times New Roman" w:hAnsi="Times New Roman" w:cs="Times New Roman"/>
          <w:sz w:val="24"/>
          <w:szCs w:val="24"/>
        </w:rPr>
        <w:t>encourage a norm of compliance that is pivotal to nurturing cooperation.</w:t>
      </w:r>
    </w:p>
    <w:p w14:paraId="7F1E64A8" w14:textId="77777777" w:rsidR="00151EDC" w:rsidRDefault="00151EDC">
      <w:pPr>
        <w:spacing w:after="0" w:line="479" w:lineRule="auto"/>
        <w:ind w:firstLine="720"/>
        <w:jc w:val="both"/>
        <w:rPr>
          <w:rFonts w:ascii="Times New Roman" w:eastAsia="Times New Roman" w:hAnsi="Times New Roman" w:cs="Times New Roman"/>
          <w:sz w:val="24"/>
          <w:szCs w:val="24"/>
        </w:rPr>
      </w:pPr>
    </w:p>
    <w:p w14:paraId="4C0872D9" w14:textId="77777777" w:rsidR="00151EDC" w:rsidRDefault="00000000">
      <w:pPr>
        <w:pStyle w:val="Subtitle"/>
        <w:spacing w:after="0" w:line="360" w:lineRule="auto"/>
        <w:jc w:val="both"/>
        <w:rPr>
          <w:rFonts w:ascii="Crimson Text" w:eastAsia="Crimson Text" w:hAnsi="Crimson Text" w:cs="Crimson Text"/>
          <w:i w:val="0"/>
          <w:iCs w:val="0"/>
          <w:sz w:val="40"/>
          <w:szCs w:val="40"/>
        </w:rPr>
      </w:pPr>
      <w:bookmarkStart w:id="3" w:name="_poa6mlb5uzmy" w:colFirst="0" w:colLast="0"/>
      <w:bookmarkEnd w:id="3"/>
      <w:r>
        <w:rPr>
          <w:rFonts w:ascii="Crimson Text" w:eastAsia="Crimson Text" w:hAnsi="Crimson Text" w:cs="Crimson Text"/>
          <w:b/>
          <w:bCs/>
          <w:sz w:val="40"/>
          <w:szCs w:val="40"/>
        </w:rPr>
        <w:t>International Peace and Security</w:t>
      </w:r>
    </w:p>
    <w:p w14:paraId="7B2AC55F" w14:textId="77777777" w:rsidR="00151EDC"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addition to cultivating international cooperation, the United Nations maintains international peace and security, and the Security Council (UNSC) is the principal proponent of this task. Consisting of fifteen members, five of which are permanent and ten of which are rotating, the Security Council is “charged with making the world a safer, more stable place by preventing or stopping armed conflict among and even within nations” (Fasulo, 2021, 56). To accomplish this goal, the UNSC has various tools at its disposal, such as mediation, ceasefire directives, military observers and peacekeeping forces, economic sanctions, arms embargoes, financial penalties and restrictions, travel bans, severance of diplomatic relations, blockades or even collective military action (United Nations, 2017, 8–9). Unlike decisions passed by the General Assembly, those issued by the Security Council are legally binding (Fasulo, 2021, 57).</w:t>
      </w:r>
    </w:p>
    <w:p w14:paraId="32E2C5D9" w14:textId="77777777" w:rsidR="00151EDC"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tools available to the Security Council, ceasefire directives, peacekeeping forces and sanctions are the most effective at creating peace and security because they, “decrease the duration of international conflicts by mitigating commitment problems” (Shannon et. al, 2010, 1123). Commitment problems arise when, “disputants have an incentive to break an agreement they might reach to end a conflict” (1125). Ceasefire directives, peacekeeping forces and sanctions, “mitigate commitment problems by increasing the costs of continued fighting and enforcing agreements, </w:t>
      </w:r>
      <w:r>
        <w:rPr>
          <w:rFonts w:ascii="Times New Roman" w:eastAsia="Times New Roman" w:hAnsi="Times New Roman" w:cs="Times New Roman"/>
          <w:sz w:val="24"/>
          <w:szCs w:val="24"/>
        </w:rPr>
        <w:lastRenderedPageBreak/>
        <w:t>both of which encourage combatants to cease hostilities and come to the table” (1126); thus, the costs of reneging on an agreement offset the incentives. Since ceasefire directives typically precede more punitive measures, disputants are incentivized to end their hostilities earlier and come to the bargaining table. Once a ceasefire deal is reached, the employment of peacekeeping forces as third-party enforcers assures all sides of the conflict that the ceasefire and subsequent peace agreements will be respected, effectively encouraging disputants to commit to settlements. Sanctions coerce combatants to maintain the peace, as they know they will be punished should they resume hostilities. Hence, the UNSC’s mechanisms promote</w:t>
      </w:r>
      <w:r>
        <w:rPr>
          <w:rFonts w:ascii="Times New Roman" w:eastAsia="Times New Roman" w:hAnsi="Times New Roman" w:cs="Times New Roman"/>
          <w:color w:val="FF4B4B"/>
          <w:sz w:val="24"/>
          <w:szCs w:val="24"/>
        </w:rPr>
        <w:t xml:space="preserve"> </w:t>
      </w:r>
      <w:r>
        <w:rPr>
          <w:rFonts w:ascii="Times New Roman" w:eastAsia="Times New Roman" w:hAnsi="Times New Roman" w:cs="Times New Roman"/>
          <w:sz w:val="24"/>
          <w:szCs w:val="24"/>
        </w:rPr>
        <w:t>peace and security by reducing the duration of international conflicts through</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moderating commitment problems.</w:t>
      </w:r>
    </w:p>
    <w:p w14:paraId="40CCE4BB"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war between Ethiopia and Eritrea demonstrates the Security Council’s critical role in international peace and security. Shortly after Eritrea’s independence from Ethiopia in 1993, the two countries went to war over territorial and economic disputes in 1998 (Lyons, 2009, 167–168). As the humanitarian situation became dire on both sides, the Security Council collaborated with the Organization of African Unity to broker a ceasefire agreement in 2000. Afterwards, the UNSC created the United Nations Mission in Ethiopia and Eritrea, a peacekeeping operation tasked with ensuring adherence to the ceasefire deal by both sides (Fasulo, 2021, 136). Although the ceasefire put an end to large-scale warfare, border skirmishes between Ethiopia and Eritrea continued well after the deal. Nevertheless, sanctions and arms embargoes imposed by the Security Council prevented these skirmishes from escalating into full-blown war (Fasulo, 2021, 136; Lyons, 2009, 169–170). Therefore, the UNSC’s intervention was critical in de-escalating the situation.</w:t>
      </w:r>
    </w:p>
    <w:p w14:paraId="0F6FBE0B"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significant controversies surrounding the Security Council is its use of the veto. Since the UNSC’s five permanent members (P5)—the United States, the United Kingdom, France, Russia and China—have veto power, they are considered more influential than the ten rotating members, which are elected by the General Assembly for two-year terms (Fasulo, 2021, 59–60). </w:t>
      </w:r>
      <w:r>
        <w:rPr>
          <w:rFonts w:ascii="Times New Roman" w:eastAsia="Times New Roman" w:hAnsi="Times New Roman" w:cs="Times New Roman"/>
          <w:sz w:val="24"/>
          <w:szCs w:val="24"/>
        </w:rPr>
        <w:lastRenderedPageBreak/>
        <w:t>Essentially, the P5 can use their veto to strike down any proposed legislation; for this to happen, only one of the P5 needs to cast a veto. Therefore, even if fourteen of the UNSC’s fifteen constituents vote in favour of a piece of legislation, a single veto can nullify the motion; this has led to concerns that the Security Council does not represent the will of the majority. Contrary to popular belief, however, most of the resolutions originating from the UNSC are not vetoed. From 2014 to 2018, of the 339 resolutions considered, 319 were adopted, while only 20 were vetoed, meaning that the Council approved 94 per cent of the resolutions during this duration (61–62). Also, if a P5 councillor wishes to voice their disapproval of a bill, they can abstain from voting rather than resort to using their veto. On that account, the fears revolving around the Council’s use of the veto are misplaced.</w:t>
      </w:r>
    </w:p>
    <w:p w14:paraId="4CDA52E2" w14:textId="77777777" w:rsidR="00151EDC" w:rsidRDefault="00151EDC">
      <w:pPr>
        <w:spacing w:after="0" w:line="479" w:lineRule="auto"/>
        <w:ind w:firstLine="720"/>
        <w:jc w:val="both"/>
        <w:rPr>
          <w:rFonts w:ascii="Times New Roman" w:eastAsia="Times New Roman" w:hAnsi="Times New Roman" w:cs="Times New Roman"/>
          <w:sz w:val="24"/>
          <w:szCs w:val="24"/>
        </w:rPr>
      </w:pPr>
    </w:p>
    <w:p w14:paraId="6EAA8C5A" w14:textId="77777777" w:rsidR="00151EDC" w:rsidRDefault="00000000">
      <w:pPr>
        <w:pStyle w:val="Subtitle"/>
        <w:spacing w:after="0" w:line="360" w:lineRule="auto"/>
        <w:jc w:val="both"/>
        <w:rPr>
          <w:rFonts w:ascii="Crimson Text" w:eastAsia="Crimson Text" w:hAnsi="Crimson Text" w:cs="Crimson Text"/>
          <w:b/>
          <w:bCs/>
          <w:sz w:val="40"/>
          <w:szCs w:val="40"/>
        </w:rPr>
      </w:pPr>
      <w:bookmarkStart w:id="4" w:name="_kcly9panxk3r" w:colFirst="0" w:colLast="0"/>
      <w:bookmarkEnd w:id="4"/>
      <w:r>
        <w:rPr>
          <w:rFonts w:ascii="Crimson Text" w:eastAsia="Crimson Text" w:hAnsi="Crimson Text" w:cs="Crimson Text"/>
          <w:b/>
          <w:bCs/>
          <w:sz w:val="40"/>
          <w:szCs w:val="40"/>
        </w:rPr>
        <w:t>International Law</w:t>
      </w:r>
    </w:p>
    <w:p w14:paraId="1FD75A40" w14:textId="77777777" w:rsidR="00151EDC" w:rsidRDefault="00000000">
      <w:pPr>
        <w:spacing w:after="0" w:line="48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Another way in which the United Nations is impactful is through its promotion of international law. Instrumental in this development is the International Court of Justice (ICJ), which serves as the UN’s “principal judicial organ” (United Nations, 2017, 233), entrusted with giving “advisory opinions on legal questions referred to it by UN organs and agencies” and settling legal disputes (Fasulo, 2021, 165). Noticeably, the International Court of Justice hears cases solely involving “governments and UN bodies,” not individuals (165). Jurisdiction-wise, the ICJ encompasses member states willing to provide advanced consent; this means that states can choose whether to be bound by the Court’s rulings (Ku, 2018, 195).</w:t>
      </w:r>
    </w:p>
    <w:p w14:paraId="23ADFEFA"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Situated in The Hague, the ICJ has proven vital in clarifying and interpreting international law, statutes and treaties. Furthermore, its, “pronouncements are widely perceived as authoritative statements of international law, and are studied closely by other courts and tribunals, legal scholars </w:t>
      </w:r>
      <w:r>
        <w:rPr>
          <w:rFonts w:ascii="Times New Roman" w:eastAsia="Times New Roman" w:hAnsi="Times New Roman" w:cs="Times New Roman"/>
          <w:sz w:val="24"/>
          <w:szCs w:val="24"/>
        </w:rPr>
        <w:lastRenderedPageBreak/>
        <w:t>and advisers to states” (United Nations, 2017, 233). With the ICJ’s assistance, states gain a clear understanding of their rights and responsibilities under international law. These aforementioned functions help raise awareness regarding existing international legal norms and facilitate their implementation by the global community.</w:t>
      </w:r>
    </w:p>
    <w:p w14:paraId="651B795C"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ruling illustrating the ICJ’s contribution to international law is the </w:t>
      </w:r>
      <w:r>
        <w:rPr>
          <w:rFonts w:ascii="Times New Roman" w:eastAsia="Times New Roman" w:hAnsi="Times New Roman" w:cs="Times New Roman"/>
          <w:i/>
          <w:iCs/>
          <w:sz w:val="24"/>
          <w:szCs w:val="24"/>
        </w:rPr>
        <w:t>Whaling Decision</w:t>
      </w:r>
      <w:r>
        <w:rPr>
          <w:rFonts w:ascii="Times New Roman" w:eastAsia="Times New Roman" w:hAnsi="Times New Roman" w:cs="Times New Roman"/>
          <w:sz w:val="24"/>
          <w:szCs w:val="24"/>
        </w:rPr>
        <w:t xml:space="preserve"> (Peel, 2015, 1), which refers to the ICJ’s verdict on the </w:t>
      </w:r>
      <w:r>
        <w:rPr>
          <w:rFonts w:ascii="Times New Roman" w:eastAsia="Times New Roman" w:hAnsi="Times New Roman" w:cs="Times New Roman"/>
          <w:i/>
          <w:iCs/>
          <w:sz w:val="24"/>
          <w:szCs w:val="24"/>
        </w:rPr>
        <w:t>Whaling in the Antarctic (Australia v. Japan: New Zealand Intervening)</w:t>
      </w:r>
      <w:r>
        <w:rPr>
          <w:rFonts w:ascii="Times New Roman" w:eastAsia="Times New Roman" w:hAnsi="Times New Roman" w:cs="Times New Roman"/>
          <w:sz w:val="24"/>
          <w:szCs w:val="24"/>
        </w:rPr>
        <w:t xml:space="preserve"> court case. In this lawsuit, Australia and New Zealand accused Japan of violating the tenets of the International Convention for the Regulation of Whaling (ICRW). Under the second phase of the Japanese Whale Research Program under Special Permit in the Antarctic (JARPA II), Japan conducted whaling on a massive scale. JARPA II took advantage of a clause within the ICRW which permits the killing of whales “for purposes of scientific research” (1). An interpretation of this clause was in order, and the ICJ was assigned to it. According to the ICJ’s interpretation, while the program “entails scientific research,” it was not conducted for “the purposes of scientific research” as the clause had outlined (Young, 2015, 65). As a result, the lawsuit concluded in favour of Australia and New Zealand, with the ICJ instructing Japan to, “revoke any extant authorization permit or license granted in relation to JARPA II, and refrain from granting any further permits in pursuance of that programme” (United Nations, 2017, 234). Japan would subsequently adhere to the Court’s verdict. Here, by interpreting the article, the ICJ not only resolved the dispute between the parties but also established a legal precedent for future proceedings.</w:t>
      </w:r>
    </w:p>
    <w:p w14:paraId="6A0BB5A1"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observers note how proceedings within the International Court of Justice typically take at least four years to conclude (234). Much can happen during this time frame, these observers proclaim, and the Court’s final verdict may no longer be relevant or applicable to present conditions. Although these assertions are accurate, they once more reflect the political context in </w:t>
      </w:r>
      <w:r>
        <w:rPr>
          <w:rFonts w:ascii="Times New Roman" w:eastAsia="Times New Roman" w:hAnsi="Times New Roman" w:cs="Times New Roman"/>
          <w:sz w:val="24"/>
          <w:szCs w:val="24"/>
        </w:rPr>
        <w:lastRenderedPageBreak/>
        <w:t>which the ICJ operates rather than reveal weaknesses inherent in the institution. Just as legally enforcing UNGA resolutions presents challenges, expediting the ICJ’s evaluative procedures proves challenging in a world of sovereign nation-states. The speed at which the hearings proceed largely depends on the party’s willingness to cooperate. As the International Court of Justice cannot compel the parties to cooperate, some hearings take longer to conclude than others.</w:t>
      </w:r>
    </w:p>
    <w:p w14:paraId="5E43E150" w14:textId="77777777" w:rsidR="00151EDC" w:rsidRDefault="00000000">
      <w:pPr>
        <w:spacing w:after="0" w:line="47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Nevertheless, the Court is more than capable of issuing swift judgments when those involved decide to collaborate. For instance, “in 1999, it delivered an order for provisional measures 24 hours after an urgent request by Germany in a case against the United States (</w:t>
      </w:r>
      <w:r>
        <w:rPr>
          <w:rFonts w:ascii="Times New Roman" w:eastAsia="Times New Roman" w:hAnsi="Times New Roman" w:cs="Times New Roman"/>
          <w:i/>
          <w:iCs/>
          <w:sz w:val="24"/>
          <w:szCs w:val="24"/>
        </w:rPr>
        <w:t>LaGrand</w:t>
      </w:r>
      <w:r>
        <w:rPr>
          <w:rFonts w:ascii="Times New Roman" w:eastAsia="Times New Roman" w:hAnsi="Times New Roman" w:cs="Times New Roman"/>
          <w:sz w:val="24"/>
          <w:szCs w:val="24"/>
        </w:rPr>
        <w:t>) concerning alleged violations of the Vienna Convention on Consular Relations in the trial and sentencing for murder of two German nationals. The case itself was dealt with in 28 months” (234). Hence, the length of the ICJ’s proceedings is dependent on the nation-states themselves and is not a product of the Court’s shortcomings.</w:t>
      </w:r>
    </w:p>
    <w:p w14:paraId="6D27B59E" w14:textId="77777777" w:rsidR="00151EDC" w:rsidRDefault="00151EDC">
      <w:pPr>
        <w:spacing w:after="0" w:line="479" w:lineRule="auto"/>
        <w:ind w:firstLine="720"/>
        <w:jc w:val="both"/>
        <w:rPr>
          <w:rFonts w:ascii="Times New Roman" w:eastAsia="Times New Roman" w:hAnsi="Times New Roman" w:cs="Times New Roman"/>
          <w:sz w:val="24"/>
          <w:szCs w:val="24"/>
        </w:rPr>
      </w:pPr>
    </w:p>
    <w:p w14:paraId="276F5C65" w14:textId="77777777" w:rsidR="00151EDC" w:rsidRDefault="00151EDC">
      <w:pPr>
        <w:spacing w:after="0" w:line="479" w:lineRule="auto"/>
        <w:ind w:firstLine="720"/>
        <w:jc w:val="both"/>
        <w:rPr>
          <w:rFonts w:ascii="Times New Roman" w:eastAsia="Times New Roman" w:hAnsi="Times New Roman" w:cs="Times New Roman"/>
          <w:sz w:val="24"/>
          <w:szCs w:val="24"/>
        </w:rPr>
      </w:pPr>
    </w:p>
    <w:p w14:paraId="76385B0A" w14:textId="77777777" w:rsidR="00151EDC" w:rsidRDefault="00000000">
      <w:pPr>
        <w:pStyle w:val="Subtitle"/>
        <w:spacing w:after="0" w:line="360" w:lineRule="auto"/>
        <w:jc w:val="both"/>
        <w:rPr>
          <w:rFonts w:ascii="Crimson Text" w:eastAsia="Crimson Text" w:hAnsi="Crimson Text" w:cs="Crimson Text"/>
          <w:b/>
          <w:bCs/>
          <w:sz w:val="40"/>
          <w:szCs w:val="40"/>
        </w:rPr>
      </w:pPr>
      <w:bookmarkStart w:id="5" w:name="_y1owdc4ycenb" w:colFirst="0" w:colLast="0"/>
      <w:bookmarkEnd w:id="5"/>
      <w:r>
        <w:rPr>
          <w:rFonts w:ascii="Crimson Text" w:eastAsia="Crimson Text" w:hAnsi="Crimson Text" w:cs="Crimson Text"/>
          <w:b/>
          <w:bCs/>
          <w:sz w:val="40"/>
          <w:szCs w:val="40"/>
        </w:rPr>
        <w:t>Conclusion</w:t>
      </w:r>
    </w:p>
    <w:p w14:paraId="6B09925B" w14:textId="77777777" w:rsidR="00151EDC"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Ultimately, even with its limitations, the world needs the United Nations, which fosters international cooperation, maintains international peace and security, and promotes international law. Without international cooperation, peace, security and the rule of law, humanity could descend into another world war. As an intergovernmental institution, the United Nations derives its legitimacy from the strength of its members’ commitments to the organization. Consequently, it is all the more important for nation-states to commit to protecting this institution and allow its funding to continue.</w:t>
      </w:r>
    </w:p>
    <w:p w14:paraId="69409355" w14:textId="77777777" w:rsidR="00151EDC" w:rsidRDefault="00151EDC"/>
    <w:p w14:paraId="6D6121D5" w14:textId="77777777" w:rsidR="00151EDC" w:rsidRDefault="00151EDC"/>
    <w:p w14:paraId="425BCF2E" w14:textId="77777777" w:rsidR="00151EDC" w:rsidRDefault="00151EDC">
      <w:pPr>
        <w:spacing w:after="0" w:line="480" w:lineRule="auto"/>
        <w:ind w:firstLine="720"/>
        <w:jc w:val="both"/>
        <w:rPr>
          <w:rFonts w:ascii="Times New Roman" w:eastAsia="Times New Roman" w:hAnsi="Times New Roman" w:cs="Times New Roman"/>
          <w:sz w:val="24"/>
          <w:szCs w:val="24"/>
        </w:rPr>
      </w:pPr>
    </w:p>
    <w:p w14:paraId="5727F9A4" w14:textId="77777777" w:rsidR="00151EDC" w:rsidRDefault="00151EDC">
      <w:pPr>
        <w:spacing w:after="0" w:line="480" w:lineRule="auto"/>
        <w:rPr>
          <w:rFonts w:ascii="Times New Roman" w:eastAsia="Times New Roman" w:hAnsi="Times New Roman" w:cs="Times New Roman"/>
          <w:sz w:val="18"/>
          <w:szCs w:val="18"/>
        </w:rPr>
      </w:pPr>
    </w:p>
    <w:p w14:paraId="33A0F1EE" w14:textId="77777777" w:rsidR="00151EDC" w:rsidRDefault="00151EDC"/>
    <w:p w14:paraId="406DF9C6" w14:textId="77777777" w:rsidR="00151EDC" w:rsidRDefault="00151EDC">
      <w:pPr>
        <w:ind w:firstLine="720"/>
        <w:rPr>
          <w:rFonts w:ascii="Times New Roman" w:eastAsia="Times New Roman" w:hAnsi="Times New Roman" w:cs="Times New Roman"/>
          <w:sz w:val="18"/>
          <w:szCs w:val="18"/>
        </w:rPr>
      </w:pPr>
    </w:p>
    <w:p w14:paraId="5613F140" w14:textId="77777777" w:rsidR="00151EDC" w:rsidRDefault="00151EDC"/>
    <w:p w14:paraId="561B19A9" w14:textId="77777777" w:rsidR="00151EDC" w:rsidRDefault="00151EDC">
      <w:pPr>
        <w:spacing w:after="0" w:line="480" w:lineRule="auto"/>
        <w:ind w:firstLine="720"/>
        <w:jc w:val="both"/>
        <w:rPr>
          <w:rFonts w:ascii="Times New Roman" w:eastAsia="Times New Roman" w:hAnsi="Times New Roman" w:cs="Times New Roman"/>
          <w:sz w:val="24"/>
          <w:szCs w:val="24"/>
        </w:rPr>
      </w:pPr>
    </w:p>
    <w:p w14:paraId="68B45A6F" w14:textId="77777777" w:rsidR="00151EDC" w:rsidRDefault="00151EDC">
      <w:pPr>
        <w:spacing w:after="0"/>
        <w:ind w:firstLine="720"/>
        <w:jc w:val="both"/>
        <w:rPr>
          <w:rFonts w:ascii="Times New Roman" w:eastAsia="Times New Roman" w:hAnsi="Times New Roman" w:cs="Times New Roman"/>
          <w:sz w:val="18"/>
          <w:szCs w:val="18"/>
        </w:rPr>
      </w:pPr>
    </w:p>
    <w:p w14:paraId="69FE3FB2" w14:textId="77777777" w:rsidR="00151EDC" w:rsidRDefault="00151EDC">
      <w:pPr>
        <w:spacing w:after="0"/>
        <w:ind w:firstLine="720"/>
        <w:jc w:val="both"/>
        <w:rPr>
          <w:rFonts w:ascii="Times New Roman" w:eastAsia="Times New Roman" w:hAnsi="Times New Roman" w:cs="Times New Roman"/>
          <w:sz w:val="18"/>
          <w:szCs w:val="18"/>
        </w:rPr>
      </w:pPr>
    </w:p>
    <w:p w14:paraId="59DE74AB" w14:textId="77777777" w:rsidR="00151EDC" w:rsidRDefault="00151EDC">
      <w:pPr>
        <w:pStyle w:val="Subtitle"/>
        <w:spacing w:line="480" w:lineRule="auto"/>
        <w:jc w:val="both"/>
        <w:rPr>
          <w:rFonts w:ascii="Times New Roman" w:eastAsia="Times New Roman" w:hAnsi="Times New Roman" w:cs="Times New Roman"/>
        </w:rPr>
      </w:pPr>
    </w:p>
    <w:p w14:paraId="462E9844" w14:textId="77777777" w:rsidR="00151EDC" w:rsidRDefault="00151EDC"/>
    <w:p w14:paraId="049441DF" w14:textId="77777777" w:rsidR="00151EDC" w:rsidRDefault="00151EDC">
      <w:pPr>
        <w:rPr>
          <w:rFonts w:ascii="Times New Roman" w:eastAsia="Times New Roman" w:hAnsi="Times New Roman" w:cs="Times New Roman"/>
          <w:sz w:val="24"/>
          <w:szCs w:val="24"/>
        </w:rPr>
      </w:pPr>
    </w:p>
    <w:p w14:paraId="46AFC155" w14:textId="77777777" w:rsidR="00151EDC" w:rsidRDefault="00151EDC">
      <w:pPr>
        <w:rPr>
          <w:rFonts w:ascii="Times New Roman" w:eastAsia="Times New Roman" w:hAnsi="Times New Roman" w:cs="Times New Roman"/>
          <w:sz w:val="24"/>
          <w:szCs w:val="24"/>
        </w:rPr>
      </w:pPr>
    </w:p>
    <w:p w14:paraId="5F98B1FE" w14:textId="77777777" w:rsidR="00151EDC" w:rsidRDefault="00151EDC">
      <w:pPr>
        <w:rPr>
          <w:rFonts w:ascii="Times New Roman" w:eastAsia="Times New Roman" w:hAnsi="Times New Roman" w:cs="Times New Roman"/>
          <w:sz w:val="24"/>
          <w:szCs w:val="24"/>
        </w:rPr>
      </w:pPr>
    </w:p>
    <w:p w14:paraId="6A7988C3" w14:textId="77777777" w:rsidR="00D43020" w:rsidRDefault="00D43020">
      <w:pPr>
        <w:rPr>
          <w:rFonts w:ascii="Times New Roman" w:eastAsia="Times New Roman" w:hAnsi="Times New Roman" w:cs="Times New Roman"/>
          <w:sz w:val="24"/>
          <w:szCs w:val="24"/>
        </w:rPr>
      </w:pPr>
    </w:p>
    <w:p w14:paraId="04A7031A" w14:textId="77777777" w:rsidR="00D43020" w:rsidRDefault="00D43020">
      <w:pPr>
        <w:rPr>
          <w:rFonts w:ascii="Times New Roman" w:eastAsia="Times New Roman" w:hAnsi="Times New Roman" w:cs="Times New Roman"/>
          <w:sz w:val="24"/>
          <w:szCs w:val="24"/>
        </w:rPr>
      </w:pPr>
    </w:p>
    <w:p w14:paraId="6AB728C8" w14:textId="77777777" w:rsidR="00D43020" w:rsidRDefault="00D43020">
      <w:pPr>
        <w:rPr>
          <w:rFonts w:ascii="Times New Roman" w:eastAsia="Times New Roman" w:hAnsi="Times New Roman" w:cs="Times New Roman"/>
          <w:sz w:val="24"/>
          <w:szCs w:val="24"/>
        </w:rPr>
      </w:pPr>
    </w:p>
    <w:p w14:paraId="34551094" w14:textId="77777777" w:rsidR="00D43020" w:rsidRDefault="00D43020">
      <w:pPr>
        <w:rPr>
          <w:rFonts w:ascii="Times New Roman" w:eastAsia="Times New Roman" w:hAnsi="Times New Roman" w:cs="Times New Roman"/>
          <w:sz w:val="24"/>
          <w:szCs w:val="24"/>
        </w:rPr>
      </w:pPr>
    </w:p>
    <w:p w14:paraId="7C4AB4F2" w14:textId="77777777" w:rsidR="00D43020" w:rsidRDefault="00D43020">
      <w:pPr>
        <w:rPr>
          <w:rFonts w:ascii="Times New Roman" w:eastAsia="Times New Roman" w:hAnsi="Times New Roman" w:cs="Times New Roman"/>
          <w:sz w:val="24"/>
          <w:szCs w:val="24"/>
        </w:rPr>
      </w:pPr>
    </w:p>
    <w:p w14:paraId="533EB3CE" w14:textId="77777777" w:rsidR="00D43020" w:rsidRDefault="00D43020">
      <w:pPr>
        <w:rPr>
          <w:rFonts w:ascii="Times New Roman" w:eastAsia="Times New Roman" w:hAnsi="Times New Roman" w:cs="Times New Roman"/>
          <w:sz w:val="24"/>
          <w:szCs w:val="24"/>
        </w:rPr>
      </w:pPr>
    </w:p>
    <w:p w14:paraId="292A937F" w14:textId="77777777" w:rsidR="00D43020" w:rsidRDefault="00D43020">
      <w:pPr>
        <w:rPr>
          <w:rFonts w:ascii="Times New Roman" w:eastAsia="Times New Roman" w:hAnsi="Times New Roman" w:cs="Times New Roman"/>
          <w:sz w:val="24"/>
          <w:szCs w:val="24"/>
        </w:rPr>
      </w:pPr>
    </w:p>
    <w:p w14:paraId="1EAB95CC" w14:textId="77777777" w:rsidR="00D43020" w:rsidRDefault="00D43020">
      <w:pPr>
        <w:rPr>
          <w:rFonts w:ascii="Times New Roman" w:eastAsia="Times New Roman" w:hAnsi="Times New Roman" w:cs="Times New Roman"/>
          <w:sz w:val="24"/>
          <w:szCs w:val="24"/>
        </w:rPr>
      </w:pPr>
    </w:p>
    <w:p w14:paraId="5695AC74" w14:textId="77777777" w:rsidR="00D43020" w:rsidRDefault="00D43020">
      <w:pPr>
        <w:rPr>
          <w:rFonts w:ascii="Times New Roman" w:eastAsia="Times New Roman" w:hAnsi="Times New Roman" w:cs="Times New Roman"/>
          <w:sz w:val="24"/>
          <w:szCs w:val="24"/>
        </w:rPr>
      </w:pPr>
    </w:p>
    <w:p w14:paraId="7FF14E7D" w14:textId="77777777" w:rsidR="00151EDC" w:rsidRDefault="00151EDC">
      <w:pPr>
        <w:rPr>
          <w:rFonts w:ascii="Times New Roman" w:eastAsia="Times New Roman" w:hAnsi="Times New Roman" w:cs="Times New Roman"/>
          <w:sz w:val="24"/>
          <w:szCs w:val="24"/>
        </w:rPr>
      </w:pPr>
    </w:p>
    <w:p w14:paraId="675CFCDB" w14:textId="77777777" w:rsidR="00151EDC" w:rsidRDefault="00151EDC">
      <w:pPr>
        <w:rPr>
          <w:rFonts w:ascii="Times New Roman" w:eastAsia="Times New Roman" w:hAnsi="Times New Roman" w:cs="Times New Roman"/>
          <w:sz w:val="24"/>
          <w:szCs w:val="24"/>
        </w:rPr>
      </w:pPr>
    </w:p>
    <w:p w14:paraId="755D4987" w14:textId="77777777" w:rsidR="00151EDC" w:rsidRDefault="00000000">
      <w:pPr>
        <w:pStyle w:val="Heading3"/>
        <w:jc w:val="center"/>
        <w:rPr>
          <w:color w:val="7A0808"/>
        </w:rPr>
      </w:pPr>
      <w:r>
        <w:rPr>
          <w:color w:val="7A0808"/>
        </w:rPr>
        <w:lastRenderedPageBreak/>
        <w:t>REFERENCES</w:t>
      </w:r>
    </w:p>
    <w:p w14:paraId="16DAB66F"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on Foreign Relations. (2024). </w:t>
      </w:r>
      <w:r>
        <w:rPr>
          <w:rFonts w:ascii="Times New Roman" w:eastAsia="Times New Roman" w:hAnsi="Times New Roman" w:cs="Times New Roman"/>
          <w:i/>
          <w:iCs/>
          <w:sz w:val="24"/>
          <w:szCs w:val="24"/>
        </w:rPr>
        <w:t>Funding the United Nations: How much does the U.S. pay?</w:t>
      </w:r>
      <w:r>
        <w:rPr>
          <w:rFonts w:ascii="Times New Roman" w:eastAsia="Times New Roman" w:hAnsi="Times New Roman" w:cs="Times New Roman"/>
          <w:sz w:val="24"/>
          <w:szCs w:val="24"/>
        </w:rPr>
        <w:t xml:space="preserve"> Backgrounders. https://www.cfr.org/article/funding-united-nations-what-impact-do-us-contributions-have-un-agencies-and-programs.</w:t>
      </w:r>
    </w:p>
    <w:p w14:paraId="5F957380"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Daley, J. (2020). </w:t>
      </w:r>
      <w:r>
        <w:rPr>
          <w:rFonts w:ascii="Times New Roman" w:eastAsia="Times New Roman" w:hAnsi="Times New Roman" w:cs="Times New Roman"/>
          <w:i/>
          <w:iCs/>
          <w:sz w:val="24"/>
          <w:szCs w:val="24"/>
        </w:rPr>
        <w:t>U.S. exits Paris Climate Accord after Trump stalls global warming action for four years.</w:t>
      </w:r>
      <w:r>
        <w:rPr>
          <w:rFonts w:ascii="Times New Roman" w:eastAsia="Times New Roman" w:hAnsi="Times New Roman" w:cs="Times New Roman"/>
          <w:sz w:val="24"/>
          <w:szCs w:val="24"/>
        </w:rPr>
        <w:t xml:space="preserve"> Scientific American. https://www.scientificamerican.com/article/u-s-exits-paris-climate-accord-after-trump-stalls-global-warming-action-for-four-years/.</w:t>
      </w:r>
    </w:p>
    <w:p w14:paraId="037CD1AA"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Fasulo, L. (2021). </w:t>
      </w:r>
      <w:r>
        <w:rPr>
          <w:rFonts w:ascii="Times New Roman" w:eastAsia="Times New Roman" w:hAnsi="Times New Roman" w:cs="Times New Roman"/>
          <w:i/>
          <w:iCs/>
          <w:sz w:val="24"/>
          <w:szCs w:val="24"/>
        </w:rPr>
        <w:t xml:space="preserve">An insider’s guide to the UN, 4th edition. </w:t>
      </w:r>
      <w:r>
        <w:rPr>
          <w:rFonts w:ascii="Times New Roman" w:eastAsia="Times New Roman" w:hAnsi="Times New Roman" w:cs="Times New Roman"/>
          <w:sz w:val="24"/>
          <w:szCs w:val="24"/>
        </w:rPr>
        <w:t>Yale University Press.</w:t>
      </w:r>
    </w:p>
    <w:p w14:paraId="66842A44"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Finoh, M. (2018).</w:t>
      </w:r>
      <w:r>
        <w:rPr>
          <w:rFonts w:ascii="Times New Roman" w:eastAsia="Times New Roman" w:hAnsi="Times New Roman" w:cs="Times New Roman"/>
          <w:i/>
          <w:iCs/>
          <w:sz w:val="24"/>
          <w:szCs w:val="24"/>
        </w:rPr>
        <w:t xml:space="preserve"> Five ways the Trump administration has attacked the UN and international human rights bodies</w:t>
      </w:r>
      <w:r>
        <w:rPr>
          <w:rFonts w:ascii="Times New Roman" w:eastAsia="Times New Roman" w:hAnsi="Times New Roman" w:cs="Times New Roman"/>
          <w:sz w:val="24"/>
          <w:szCs w:val="24"/>
        </w:rPr>
        <w:t>. American Civil Liberties Union. https://www.aclu.org/news/human-rights/five-ways-trump-administration-has-attacked-un-and-international-human-rights.</w:t>
      </w:r>
    </w:p>
    <w:p w14:paraId="775665CA"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Hanhimäki, J. (2015). </w:t>
      </w:r>
      <w:r>
        <w:rPr>
          <w:rFonts w:ascii="Times New Roman" w:eastAsia="Times New Roman" w:hAnsi="Times New Roman" w:cs="Times New Roman"/>
          <w:i/>
          <w:iCs/>
          <w:sz w:val="24"/>
          <w:szCs w:val="24"/>
        </w:rPr>
        <w:t xml:space="preserve">The United Nations: A very short introduction, 2nd edition. </w:t>
      </w:r>
      <w:r>
        <w:rPr>
          <w:rFonts w:ascii="Times New Roman" w:eastAsia="Times New Roman" w:hAnsi="Times New Roman" w:cs="Times New Roman"/>
          <w:sz w:val="24"/>
          <w:szCs w:val="24"/>
        </w:rPr>
        <w:t>Oxford University Press.</w:t>
      </w:r>
    </w:p>
    <w:p w14:paraId="488BF696"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Keohane, R. (1984). </w:t>
      </w:r>
      <w:r>
        <w:rPr>
          <w:rFonts w:ascii="Times New Roman" w:eastAsia="Times New Roman" w:hAnsi="Times New Roman" w:cs="Times New Roman"/>
          <w:i/>
          <w:iCs/>
          <w:sz w:val="24"/>
          <w:szCs w:val="24"/>
        </w:rPr>
        <w:t xml:space="preserve">After hegemony: Cooperation and discord in the world political economy, 1st edition. </w:t>
      </w:r>
      <w:r>
        <w:rPr>
          <w:rFonts w:ascii="Times New Roman" w:eastAsia="Times New Roman" w:hAnsi="Times New Roman" w:cs="Times New Roman"/>
          <w:sz w:val="24"/>
          <w:szCs w:val="24"/>
        </w:rPr>
        <w:t>Princeton University Press.</w:t>
      </w:r>
    </w:p>
    <w:p w14:paraId="3C7FAA3D"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 C. (2018). International Court of Justice. In Weiss, T., &amp; Daws, S, (Eds). </w:t>
      </w:r>
      <w:r>
        <w:rPr>
          <w:rFonts w:ascii="Times New Roman" w:eastAsia="Times New Roman" w:hAnsi="Times New Roman" w:cs="Times New Roman"/>
          <w:i/>
          <w:iCs/>
          <w:sz w:val="24"/>
          <w:szCs w:val="24"/>
        </w:rPr>
        <w:t xml:space="preserve">The Oxford Handbook on the United Nations </w:t>
      </w:r>
      <w:r>
        <w:rPr>
          <w:rFonts w:ascii="Times New Roman" w:eastAsia="Times New Roman" w:hAnsi="Times New Roman" w:cs="Times New Roman"/>
          <w:sz w:val="24"/>
          <w:szCs w:val="24"/>
        </w:rPr>
        <w:t>(190-211)</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Oxford University Press.</w:t>
      </w:r>
    </w:p>
    <w:p w14:paraId="08B2C686" w14:textId="77777777" w:rsidR="00151EDC" w:rsidRDefault="00000000">
      <w:pPr>
        <w:widowControl w:val="0"/>
        <w:spacing w:after="0" w:line="480" w:lineRule="auto"/>
        <w:ind w:left="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Lyons, T. (2009). The Ethiopia-Eritrea conflict and the search for peace in the horn of Africa. </w:t>
      </w:r>
      <w:r>
        <w:rPr>
          <w:rFonts w:ascii="Times New Roman" w:eastAsia="Times New Roman" w:hAnsi="Times New Roman" w:cs="Times New Roman"/>
          <w:i/>
          <w:iCs/>
          <w:sz w:val="24"/>
          <w:szCs w:val="24"/>
        </w:rPr>
        <w:t>Review of African Political Economy. 36</w:t>
      </w:r>
      <w:r>
        <w:rPr>
          <w:rFonts w:ascii="Times New Roman" w:eastAsia="Times New Roman" w:hAnsi="Times New Roman" w:cs="Times New Roman"/>
          <w:sz w:val="24"/>
          <w:szCs w:val="24"/>
        </w:rPr>
        <w:t>(120), 167-80. 10.1080/03056240903086485.</w:t>
      </w:r>
    </w:p>
    <w:p w14:paraId="4D76A66C" w14:textId="77777777" w:rsidR="00151EDC" w:rsidRDefault="00000000">
      <w:pPr>
        <w:widowControl w:val="0"/>
        <w:spacing w:after="0" w:line="480" w:lineRule="auto"/>
        <w:ind w:left="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Mingst, K., Karns, M., &amp; Lyon, A. (2022). </w:t>
      </w:r>
      <w:r>
        <w:rPr>
          <w:rFonts w:ascii="Times New Roman" w:eastAsia="Times New Roman" w:hAnsi="Times New Roman" w:cs="Times New Roman"/>
          <w:i/>
          <w:iCs/>
          <w:sz w:val="24"/>
          <w:szCs w:val="24"/>
        </w:rPr>
        <w:t xml:space="preserve">The United Nations in the 21st century, 6th edition. </w:t>
      </w:r>
      <w:r>
        <w:rPr>
          <w:rFonts w:ascii="Times New Roman" w:eastAsia="Times New Roman" w:hAnsi="Times New Roman" w:cs="Times New Roman"/>
          <w:sz w:val="24"/>
          <w:szCs w:val="24"/>
        </w:rPr>
        <w:t>Routledge.</w:t>
      </w:r>
    </w:p>
    <w:p w14:paraId="5BDB495C"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Peel, J. (2015). Introductory note to </w:t>
      </w:r>
      <w:r>
        <w:rPr>
          <w:rFonts w:ascii="Times New Roman" w:eastAsia="Times New Roman" w:hAnsi="Times New Roman" w:cs="Times New Roman"/>
          <w:i/>
          <w:iCs/>
          <w:sz w:val="24"/>
          <w:szCs w:val="24"/>
        </w:rPr>
        <w:t xml:space="preserve">Whaling in the Antarctic (Australia v. Japan: New Zealand Intervening) </w:t>
      </w:r>
      <w:r>
        <w:rPr>
          <w:rFonts w:ascii="Times New Roman" w:eastAsia="Times New Roman" w:hAnsi="Times New Roman" w:cs="Times New Roman"/>
          <w:sz w:val="24"/>
          <w:szCs w:val="24"/>
        </w:rPr>
        <w:t xml:space="preserve">(ICJ). </w:t>
      </w:r>
      <w:r>
        <w:rPr>
          <w:rFonts w:ascii="Times New Roman" w:eastAsia="Times New Roman" w:hAnsi="Times New Roman" w:cs="Times New Roman"/>
          <w:i/>
          <w:iCs/>
          <w:sz w:val="24"/>
          <w:szCs w:val="24"/>
        </w:rPr>
        <w:t>International Legal Materials 54</w:t>
      </w:r>
      <w:r>
        <w:rPr>
          <w:rFonts w:ascii="Times New Roman" w:eastAsia="Times New Roman" w:hAnsi="Times New Roman" w:cs="Times New Roman"/>
          <w:sz w:val="24"/>
          <w:szCs w:val="24"/>
        </w:rPr>
        <w:t>(1), 1-52. https://doi.org/10.5305/intelegamate.54.1.0001.</w:t>
      </w:r>
    </w:p>
    <w:p w14:paraId="069A3D3F" w14:textId="77777777" w:rsidR="00151EDC"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Rascoe, A. (2017). </w:t>
      </w:r>
      <w:r>
        <w:rPr>
          <w:rFonts w:ascii="Times New Roman" w:eastAsia="Times New Roman" w:hAnsi="Times New Roman" w:cs="Times New Roman"/>
          <w:i/>
          <w:iCs/>
          <w:sz w:val="24"/>
          <w:szCs w:val="24"/>
        </w:rPr>
        <w:t>Factbox: What Trump has said about the United Nations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Reuters. </w:t>
      </w:r>
      <w:r>
        <w:rPr>
          <w:rFonts w:ascii="Times New Roman" w:eastAsia="Times New Roman" w:hAnsi="Times New Roman" w:cs="Times New Roman"/>
          <w:sz w:val="24"/>
          <w:szCs w:val="24"/>
        </w:rPr>
        <w:t>https://www.reuters.com/article/idUSKCN1BS0UO/.</w:t>
      </w:r>
    </w:p>
    <w:p w14:paraId="662C3FCC" w14:textId="77777777" w:rsidR="00151EDC"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Shannon, M., Morey, D., &amp; Boehmke, F. (2010). The influence of international organizations on militarized dispute initiation and duration. </w:t>
      </w:r>
      <w:r>
        <w:rPr>
          <w:rFonts w:ascii="Times New Roman" w:eastAsia="Times New Roman" w:hAnsi="Times New Roman" w:cs="Times New Roman"/>
          <w:i/>
          <w:iCs/>
          <w:sz w:val="24"/>
          <w:szCs w:val="24"/>
        </w:rPr>
        <w:t>International Studies Quarterly, 54</w:t>
      </w:r>
      <w:r>
        <w:rPr>
          <w:rFonts w:ascii="Times New Roman" w:eastAsia="Times New Roman" w:hAnsi="Times New Roman" w:cs="Times New Roman"/>
          <w:sz w:val="24"/>
          <w:szCs w:val="24"/>
        </w:rPr>
        <w:t xml:space="preserve">(4), 1123-41. </w:t>
      </w:r>
      <w:r>
        <w:rPr>
          <w:rFonts w:ascii="Times New Roman" w:eastAsia="Times New Roman" w:hAnsi="Times New Roman" w:cs="Times New Roman"/>
          <w:sz w:val="24"/>
          <w:szCs w:val="24"/>
          <w:highlight w:val="white"/>
        </w:rPr>
        <w:t>https://doi.org/10.1111/j.1468-2478.2010.00629.x.</w:t>
      </w:r>
    </w:p>
    <w:p w14:paraId="4A9871DD" w14:textId="77777777" w:rsidR="00151EDC"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 System Chief Executives Board for Coordination. (n.d.). </w:t>
      </w:r>
      <w:r>
        <w:rPr>
          <w:rFonts w:ascii="Times New Roman" w:eastAsia="Times New Roman" w:hAnsi="Times New Roman" w:cs="Times New Roman"/>
          <w:i/>
          <w:iCs/>
          <w:sz w:val="24"/>
          <w:szCs w:val="24"/>
          <w:highlight w:val="white"/>
        </w:rPr>
        <w:t>Revenue by government donor</w:t>
      </w:r>
      <w:r>
        <w:rPr>
          <w:rFonts w:ascii="Times New Roman" w:eastAsia="Times New Roman" w:hAnsi="Times New Roman" w:cs="Times New Roman"/>
          <w:sz w:val="24"/>
          <w:szCs w:val="24"/>
          <w:highlight w:val="white"/>
        </w:rPr>
        <w:t>. https://unsceb.org/fs-revenue-government-donor.</w:t>
      </w:r>
    </w:p>
    <w:p w14:paraId="555515AF" w14:textId="77777777" w:rsidR="00151EDC"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United Nations. (2017). </w:t>
      </w:r>
      <w:r>
        <w:rPr>
          <w:rFonts w:ascii="Times New Roman" w:eastAsia="Times New Roman" w:hAnsi="Times New Roman" w:cs="Times New Roman"/>
          <w:i/>
          <w:iCs/>
          <w:sz w:val="24"/>
          <w:szCs w:val="24"/>
          <w:highlight w:val="white"/>
        </w:rPr>
        <w:t>Basic facts about the United Nations, 42nd edition.</w:t>
      </w:r>
      <w:r>
        <w:rPr>
          <w:rFonts w:ascii="Times New Roman" w:eastAsia="Times New Roman" w:hAnsi="Times New Roman" w:cs="Times New Roman"/>
          <w:sz w:val="24"/>
          <w:szCs w:val="24"/>
          <w:highlight w:val="white"/>
        </w:rPr>
        <w:t xml:space="preserve"> Department of Public Information.</w:t>
      </w:r>
    </w:p>
    <w:p w14:paraId="3C2DB1B7" w14:textId="77777777" w:rsidR="00151EDC"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Weiss, T. G., &amp; Daws, S. (2018). </w:t>
      </w:r>
      <w:r>
        <w:rPr>
          <w:rFonts w:ascii="Times New Roman" w:eastAsia="Times New Roman" w:hAnsi="Times New Roman" w:cs="Times New Roman"/>
          <w:i/>
          <w:iCs/>
          <w:sz w:val="24"/>
          <w:szCs w:val="24"/>
          <w:highlight w:val="white"/>
        </w:rPr>
        <w:t xml:space="preserve">The Oxford handbook on the United Nations. </w:t>
      </w:r>
      <w:r>
        <w:rPr>
          <w:rFonts w:ascii="Times New Roman" w:eastAsia="Times New Roman" w:hAnsi="Times New Roman" w:cs="Times New Roman"/>
          <w:sz w:val="24"/>
          <w:szCs w:val="24"/>
          <w:highlight w:val="white"/>
        </w:rPr>
        <w:t>Oxford University Press.</w:t>
      </w:r>
    </w:p>
    <w:p w14:paraId="40079CD6" w14:textId="77777777" w:rsidR="00151EDC"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Young, M. (2015). Whaling in the Antarctic (Australia v Japan: New Zealand intervening): progressive judgment or missed opportunity for the development of international environmental law? </w:t>
      </w:r>
      <w:r>
        <w:rPr>
          <w:rFonts w:ascii="Times New Roman" w:eastAsia="Times New Roman" w:hAnsi="Times New Roman" w:cs="Times New Roman"/>
          <w:i/>
          <w:iCs/>
          <w:sz w:val="24"/>
          <w:szCs w:val="24"/>
          <w:highlight w:val="white"/>
        </w:rPr>
        <w:t>The Comparative and International Law Journal of Southern Africa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48</w:t>
      </w:r>
      <w:r>
        <w:rPr>
          <w:rFonts w:ascii="Times New Roman" w:eastAsia="Times New Roman" w:hAnsi="Times New Roman" w:cs="Times New Roman"/>
          <w:sz w:val="24"/>
          <w:szCs w:val="24"/>
          <w:highlight w:val="white"/>
        </w:rPr>
        <w:t>(1), 59–88. https://www.jstor.org/stable/26203827.</w:t>
      </w:r>
    </w:p>
    <w:p w14:paraId="7F189208" w14:textId="77777777" w:rsidR="00151EDC" w:rsidRDefault="00151EDC">
      <w:pPr>
        <w:widowControl w:val="0"/>
        <w:spacing w:after="0" w:line="480" w:lineRule="auto"/>
        <w:ind w:left="720" w:hanging="720"/>
        <w:rPr>
          <w:rFonts w:ascii="Times New Roman" w:eastAsia="Times New Roman" w:hAnsi="Times New Roman" w:cs="Times New Roman"/>
          <w:sz w:val="24"/>
          <w:szCs w:val="24"/>
        </w:rPr>
      </w:pPr>
    </w:p>
    <w:p w14:paraId="6CA74A5E" w14:textId="77777777" w:rsidR="00151EDC" w:rsidRDefault="00151EDC">
      <w:pPr>
        <w:widowControl w:val="0"/>
        <w:spacing w:after="0" w:line="480" w:lineRule="auto"/>
        <w:ind w:left="720" w:hanging="720"/>
        <w:rPr>
          <w:rFonts w:ascii="Times New Roman" w:eastAsia="Times New Roman" w:hAnsi="Times New Roman" w:cs="Times New Roman"/>
          <w:sz w:val="24"/>
          <w:szCs w:val="24"/>
        </w:rPr>
      </w:pPr>
    </w:p>
    <w:p w14:paraId="68DCF5F3" w14:textId="77777777" w:rsidR="00151EDC" w:rsidRDefault="00151EDC">
      <w:pPr>
        <w:widowControl w:val="0"/>
        <w:spacing w:after="0" w:line="480" w:lineRule="auto"/>
        <w:ind w:left="720" w:right="255" w:hanging="720"/>
        <w:rPr>
          <w:rFonts w:ascii="Times New Roman" w:eastAsia="Times New Roman" w:hAnsi="Times New Roman" w:cs="Times New Roman"/>
          <w:sz w:val="24"/>
          <w:szCs w:val="24"/>
        </w:rPr>
      </w:pPr>
    </w:p>
    <w:sectPr w:rsidR="00151ED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1292E" w14:textId="77777777" w:rsidR="0048606F" w:rsidRDefault="0048606F">
      <w:pPr>
        <w:spacing w:after="0" w:line="240" w:lineRule="auto"/>
      </w:pPr>
      <w:r>
        <w:separator/>
      </w:r>
    </w:p>
  </w:endnote>
  <w:endnote w:type="continuationSeparator" w:id="0">
    <w:p w14:paraId="2C0E6A0B" w14:textId="77777777" w:rsidR="0048606F" w:rsidRDefault="00486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embedRegular r:id="rId1" w:fontKey="{7E845311-2E47-3749-9017-EE936272C077}"/>
    <w:embedItalic r:id="rId2" w:fontKey="{FE5958B4-7114-1949-8E42-380405B95235}"/>
  </w:font>
  <w:font w:name="Crimson Text">
    <w:charset w:val="00"/>
    <w:family w:val="auto"/>
    <w:pitch w:val="default"/>
    <w:embedRegular r:id="rId3" w:fontKey="{996C3860-FE94-4549-B72C-5D369702825D}"/>
    <w:embedBold r:id="rId4" w:fontKey="{E571E318-7FAF-AC46-BF01-94D46B611CEC}"/>
    <w:embedItalic r:id="rId5" w:fontKey="{59D79A5D-3E46-FD48-97A2-C117080CFBC2}"/>
    <w:embedBoldItalic r:id="rId6" w:fontKey="{079F93CD-7535-7449-8FE4-56386C0C804C}"/>
  </w:font>
  <w:font w:name="Times New Roman">
    <w:panose1 w:val="02020603050405020304"/>
    <w:charset w:val="00"/>
    <w:family w:val="roman"/>
    <w:pitch w:val="variable"/>
    <w:sig w:usb0="E0002EFF" w:usb1="C000785B" w:usb2="00000009" w:usb3="00000000" w:csb0="000001FF" w:csb1="00000000"/>
    <w:embedRegular r:id="rId7" w:fontKey="{E1F3E086-E23B-1741-A057-C588D65C6873}"/>
    <w:embedBold r:id="rId8" w:fontKey="{4C6CC339-5F98-974E-A9B0-5BAB42054B60}"/>
    <w:embedItalic r:id="rId9" w:fontKey="{534466EC-95A3-DE43-82C8-972B8D0BE9BB}"/>
  </w:font>
  <w:font w:name="Calibri">
    <w:panose1 w:val="020F0502020204030204"/>
    <w:charset w:val="00"/>
    <w:family w:val="swiss"/>
    <w:pitch w:val="variable"/>
    <w:sig w:usb0="E0002AFF" w:usb1="C000247B" w:usb2="00000009" w:usb3="00000000" w:csb0="000001FF" w:csb1="00000000"/>
    <w:embedRegular r:id="rId10" w:fontKey="{0BE3D99E-0E1B-2C4D-9156-F6EF7F60A16F}"/>
  </w:font>
  <w:font w:name="Cambria">
    <w:panose1 w:val="02040503050406030204"/>
    <w:charset w:val="00"/>
    <w:family w:val="roman"/>
    <w:pitch w:val="variable"/>
    <w:sig w:usb0="E00002FF" w:usb1="400004FF" w:usb2="00000000" w:usb3="00000000" w:csb0="0000019F" w:csb1="00000000"/>
    <w:embedRegular r:id="rId11" w:fontKey="{47605C02-F31A-6E47-9EE0-8C0CB15982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E7D6" w14:textId="77777777" w:rsidR="00A5405F" w:rsidRDefault="00A54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CE13" w14:textId="77777777" w:rsidR="00151EDC" w:rsidRDefault="00000000">
    <w:pPr>
      <w:pBdr>
        <w:top w:val="nil"/>
        <w:left w:val="nil"/>
        <w:bottom w:val="nil"/>
        <w:right w:val="nil"/>
        <w:between w:val="nil"/>
      </w:pBdr>
      <w:tabs>
        <w:tab w:val="center" w:pos="4680"/>
        <w:tab w:val="right" w:pos="9360"/>
      </w:tabs>
      <w:spacing w:after="0" w:line="240" w:lineRule="auto"/>
      <w:jc w:val="right"/>
      <w:rPr>
        <w:rFonts w:ascii="Crimson Text" w:eastAsia="Crimson Text" w:hAnsi="Crimson Text" w:cs="Crimson Text"/>
        <w:color w:val="7A0808"/>
        <w:sz w:val="24"/>
        <w:szCs w:val="24"/>
      </w:rPr>
    </w:pPr>
    <w:r>
      <w:rPr>
        <w:rFonts w:ascii="Crimson Text" w:eastAsia="Crimson Text" w:hAnsi="Crimson Text" w:cs="Crimson Text"/>
        <w:color w:val="7A0808"/>
        <w:sz w:val="24"/>
        <w:szCs w:val="24"/>
      </w:rPr>
      <w:t xml:space="preserve">| </w:t>
    </w:r>
    <w:r>
      <w:rPr>
        <w:rFonts w:ascii="Crimson Text" w:eastAsia="Crimson Text" w:hAnsi="Crimson Text" w:cs="Crimson Text"/>
        <w:color w:val="7A0808"/>
        <w:sz w:val="24"/>
        <w:szCs w:val="24"/>
      </w:rPr>
      <w:fldChar w:fldCharType="begin"/>
    </w:r>
    <w:r>
      <w:rPr>
        <w:rFonts w:ascii="Crimson Text" w:eastAsia="Crimson Text" w:hAnsi="Crimson Text" w:cs="Crimson Text"/>
        <w:color w:val="7A0808"/>
        <w:sz w:val="24"/>
        <w:szCs w:val="24"/>
      </w:rPr>
      <w:instrText>PAGE</w:instrText>
    </w:r>
    <w:r>
      <w:rPr>
        <w:rFonts w:ascii="Crimson Text" w:eastAsia="Crimson Text" w:hAnsi="Crimson Text" w:cs="Crimson Text"/>
        <w:color w:val="7A0808"/>
        <w:sz w:val="24"/>
        <w:szCs w:val="24"/>
      </w:rPr>
      <w:fldChar w:fldCharType="separate"/>
    </w:r>
    <w:r w:rsidR="00D43020">
      <w:rPr>
        <w:rFonts w:ascii="Crimson Text" w:eastAsia="Crimson Text" w:hAnsi="Crimson Text" w:cs="Crimson Text"/>
        <w:noProof/>
        <w:color w:val="7A0808"/>
        <w:sz w:val="24"/>
        <w:szCs w:val="24"/>
      </w:rPr>
      <w:t>1</w:t>
    </w:r>
    <w:r>
      <w:rPr>
        <w:rFonts w:ascii="Crimson Text" w:eastAsia="Crimson Text" w:hAnsi="Crimson Text" w:cs="Crimson Text"/>
        <w:color w:val="7A0808"/>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4002" w14:textId="77777777" w:rsidR="00A5405F" w:rsidRDefault="00A54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B962F" w14:textId="77777777" w:rsidR="0048606F" w:rsidRDefault="0048606F">
      <w:pPr>
        <w:spacing w:after="0" w:line="240" w:lineRule="auto"/>
      </w:pPr>
      <w:r>
        <w:separator/>
      </w:r>
    </w:p>
  </w:footnote>
  <w:footnote w:type="continuationSeparator" w:id="0">
    <w:p w14:paraId="74E0DBF9" w14:textId="77777777" w:rsidR="0048606F" w:rsidRDefault="00486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E4780" w14:textId="77777777" w:rsidR="00A5405F" w:rsidRDefault="00A54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2BAF" w14:textId="4ED9DC84" w:rsidR="00151EDC" w:rsidRDefault="00000000">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7A0808"/>
      </w:rPr>
    </w:pPr>
    <w:r>
      <w:rPr>
        <w:rFonts w:ascii="Crimson Text" w:eastAsia="Crimson Text" w:hAnsi="Crimson Text" w:cs="Crimson Text"/>
        <w:color w:val="7A0808"/>
      </w:rPr>
      <w:t>Gadfly Undergraduate Journal of Political Science | 202</w:t>
    </w:r>
    <w:r w:rsidR="00A5405F">
      <w:rPr>
        <w:rFonts w:ascii="Crimson Text" w:eastAsia="Crimson Text" w:hAnsi="Crimson Text" w:cs="Crimson Text"/>
        <w:color w:val="7A0808"/>
      </w:rPr>
      <w:t>6</w:t>
    </w:r>
    <w:r>
      <w:rPr>
        <w:rFonts w:ascii="Crimson Text" w:eastAsia="Crimson Text" w:hAnsi="Crimson Text" w:cs="Crimson Text"/>
        <w:color w:val="7A0808"/>
      </w:rPr>
      <w:tab/>
    </w:r>
  </w:p>
  <w:p w14:paraId="000099C4" w14:textId="77777777" w:rsidR="00151EDC" w:rsidRDefault="00151EDC">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F295" w14:textId="77777777" w:rsidR="00A5405F" w:rsidRDefault="00A540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DC"/>
    <w:rsid w:val="00151EDC"/>
    <w:rsid w:val="004615FF"/>
    <w:rsid w:val="0048606F"/>
    <w:rsid w:val="00A5405F"/>
    <w:rsid w:val="00D43020"/>
    <w:rsid w:val="00DD7A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71B4718"/>
  <w15:docId w15:val="{6163119F-745A-334D-A4D5-06BBEA4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1"/>
        <w:szCs w:val="21"/>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rimson Text" w:eastAsia="Crimson Text" w:hAnsi="Crimson Text" w:cs="Crimson Text"/>
      <w:b/>
      <w:bCs/>
      <w:color w:val="7A0808"/>
      <w:sz w:val="32"/>
      <w:szCs w:val="32"/>
    </w:rPr>
  </w:style>
  <w:style w:type="paragraph" w:styleId="Heading2">
    <w:name w:val="heading 2"/>
    <w:basedOn w:val="Normal"/>
    <w:next w:val="Normal"/>
    <w:uiPriority w:val="9"/>
    <w:unhideWhenUsed/>
    <w:qFormat/>
    <w:pPr>
      <w:keepNext/>
      <w:keepLines/>
      <w:spacing w:before="40"/>
      <w:outlineLvl w:val="1"/>
    </w:pPr>
    <w:rPr>
      <w:rFonts w:ascii="Crimson Text" w:eastAsia="Crimson Text" w:hAnsi="Crimson Text" w:cs="Crimson Text"/>
      <w:b/>
      <w:bCs/>
      <w:color w:val="A0504F"/>
      <w:sz w:val="28"/>
      <w:szCs w:val="28"/>
    </w:rPr>
  </w:style>
  <w:style w:type="paragraph" w:styleId="Heading3">
    <w:name w:val="heading 3"/>
    <w:basedOn w:val="Normal"/>
    <w:next w:val="Normal"/>
    <w:uiPriority w:val="9"/>
    <w:unhideWhenUsed/>
    <w:qFormat/>
    <w:pPr>
      <w:keepNext/>
      <w:keepLines/>
      <w:spacing w:before="40"/>
      <w:outlineLvl w:val="2"/>
    </w:pPr>
    <w:rPr>
      <w:rFonts w:ascii="Crimson Text" w:eastAsia="Crimson Text" w:hAnsi="Crimson Text" w:cs="Crimson Text"/>
      <w:b/>
      <w:bCs/>
      <w:color w:val="7284A8"/>
      <w:sz w:val="28"/>
      <w:szCs w:val="28"/>
    </w:rPr>
  </w:style>
  <w:style w:type="paragraph" w:styleId="Heading4">
    <w:name w:val="heading 4"/>
    <w:basedOn w:val="Normal"/>
    <w:next w:val="Normal"/>
    <w:uiPriority w:val="9"/>
    <w:semiHidden/>
    <w:unhideWhenUsed/>
    <w:qFormat/>
    <w:pPr>
      <w:keepNext/>
      <w:keepLines/>
      <w:spacing w:before="40"/>
      <w:outlineLvl w:val="3"/>
    </w:pPr>
    <w:rPr>
      <w:rFonts w:ascii="Crimson Text" w:eastAsia="Crimson Text" w:hAnsi="Crimson Text" w:cs="Crimson Text"/>
      <w:i/>
      <w:iCs/>
      <w:color w:val="5B0505"/>
      <w:sz w:val="22"/>
      <w:szCs w:val="22"/>
    </w:rPr>
  </w:style>
  <w:style w:type="paragraph" w:styleId="Heading5">
    <w:name w:val="heading 5"/>
    <w:basedOn w:val="Normal"/>
    <w:next w:val="Normal"/>
    <w:uiPriority w:val="9"/>
    <w:semiHidden/>
    <w:unhideWhenUsed/>
    <w:qFormat/>
    <w:pPr>
      <w:keepNext/>
      <w:keepLines/>
      <w:spacing w:before="40"/>
      <w:outlineLvl w:val="4"/>
    </w:pPr>
    <w:rPr>
      <w:rFonts w:ascii="Crimson Text" w:eastAsia="Crimson Text" w:hAnsi="Crimson Text" w:cs="Crimson Text"/>
      <w:color w:val="5B0505"/>
      <w:sz w:val="22"/>
      <w:szCs w:val="22"/>
    </w:rPr>
  </w:style>
  <w:style w:type="paragraph" w:styleId="Heading6">
    <w:name w:val="heading 6"/>
    <w:basedOn w:val="Normal"/>
    <w:next w:val="Normal"/>
    <w:uiPriority w:val="9"/>
    <w:semiHidden/>
    <w:unhideWhenUsed/>
    <w:qFormat/>
    <w:pPr>
      <w:keepNext/>
      <w:keepLines/>
      <w:spacing w:before="40"/>
      <w:outlineLvl w:val="5"/>
    </w:pPr>
    <w:rPr>
      <w:rFonts w:ascii="Crimson Text" w:eastAsia="Crimson Text" w:hAnsi="Crimson Text" w:cs="Crimson Tex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rimson Text" w:eastAsia="Crimson Text" w:hAnsi="Crimson Text" w:cs="Crimson Text"/>
      <w:b/>
      <w:bCs/>
      <w:color w:val="7A0808"/>
      <w:sz w:val="56"/>
      <w:szCs w:val="56"/>
    </w:rPr>
  </w:style>
  <w:style w:type="paragraph" w:styleId="Subtitle">
    <w:name w:val="Subtitle"/>
    <w:basedOn w:val="Normal"/>
    <w:next w:val="Normal"/>
    <w:uiPriority w:val="11"/>
    <w:qFormat/>
    <w:pPr>
      <w:spacing w:after="160"/>
      <w:jc w:val="center"/>
    </w:pPr>
    <w:rPr>
      <w:i/>
      <w:iCs/>
      <w:color w:val="A0504F"/>
      <w:sz w:val="24"/>
      <w:szCs w:val="24"/>
    </w:rPr>
  </w:style>
  <w:style w:type="paragraph" w:styleId="Header">
    <w:name w:val="header"/>
    <w:basedOn w:val="Normal"/>
    <w:link w:val="HeaderChar"/>
    <w:uiPriority w:val="99"/>
    <w:unhideWhenUsed/>
    <w:rsid w:val="00A54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05F"/>
  </w:style>
  <w:style w:type="paragraph" w:styleId="Footer">
    <w:name w:val="footer"/>
    <w:basedOn w:val="Normal"/>
    <w:link w:val="FooterChar"/>
    <w:uiPriority w:val="99"/>
    <w:unhideWhenUsed/>
    <w:rsid w:val="00A54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2871</Words>
  <Characters>16367</Characters>
  <Application>Microsoft Office Word</Application>
  <DocSecurity>0</DocSecurity>
  <Lines>136</Lines>
  <Paragraphs>38</Paragraphs>
  <ScaleCrop>false</ScaleCrop>
  <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Kim</cp:lastModifiedBy>
  <cp:revision>3</cp:revision>
  <dcterms:created xsi:type="dcterms:W3CDTF">2026-01-05T11:15:00Z</dcterms:created>
  <dcterms:modified xsi:type="dcterms:W3CDTF">2026-01-06T00:33:00Z</dcterms:modified>
</cp:coreProperties>
</file>