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330F" w14:textId="77777777" w:rsidR="00D51F48" w:rsidRDefault="00000000">
      <w:pPr>
        <w:pBdr>
          <w:top w:val="nil"/>
          <w:left w:val="nil"/>
          <w:bottom w:val="nil"/>
          <w:right w:val="nil"/>
          <w:between w:val="nil"/>
        </w:pBdr>
        <w:spacing w:after="0" w:line="240" w:lineRule="auto"/>
        <w:rPr>
          <w:rFonts w:ascii="Crimson Text" w:eastAsia="Crimson Text" w:hAnsi="Crimson Text" w:cs="Crimson Text"/>
          <w:i/>
          <w:iCs/>
          <w:color w:val="5B0505"/>
          <w:sz w:val="22"/>
          <w:szCs w:val="22"/>
        </w:rPr>
      </w:pPr>
      <w:r>
        <w:rPr>
          <w:rFonts w:ascii="Crimson Text" w:eastAsia="Crimson Text" w:hAnsi="Crimson Text" w:cs="Crimson Text"/>
          <w:i/>
          <w:iCs/>
          <w:color w:val="5B0505"/>
          <w:sz w:val="22"/>
          <w:szCs w:val="22"/>
        </w:rPr>
        <w:t>Contemporary Canadian Politics</w:t>
      </w:r>
    </w:p>
    <w:p w14:paraId="268097AC" w14:textId="77777777" w:rsidR="00D51F48" w:rsidRDefault="00000000">
      <w:pPr>
        <w:pStyle w:val="Title"/>
        <w:spacing w:line="240" w:lineRule="auto"/>
        <w:jc w:val="left"/>
        <w:rPr>
          <w:b w:val="0"/>
          <w:bCs w:val="0"/>
          <w:i/>
          <w:iCs/>
          <w:sz w:val="40"/>
          <w:szCs w:val="40"/>
        </w:rPr>
      </w:pPr>
      <w:r>
        <w:rPr>
          <w:b w:val="0"/>
          <w:bCs w:val="0"/>
        </w:rPr>
        <w:t xml:space="preserve">| </w:t>
      </w:r>
      <w:r>
        <w:rPr>
          <w:b w:val="0"/>
          <w:bCs w:val="0"/>
          <w:sz w:val="40"/>
          <w:szCs w:val="40"/>
        </w:rPr>
        <w:t>A Critique of Canada’s National Women’s Health Strategy</w:t>
      </w:r>
    </w:p>
    <w:p w14:paraId="2E47776E" w14:textId="77777777" w:rsidR="00D51F48" w:rsidRDefault="00000000">
      <w:pPr>
        <w:pStyle w:val="Subtitle"/>
        <w:spacing w:line="240" w:lineRule="auto"/>
        <w:jc w:val="left"/>
      </w:pPr>
      <w:r>
        <w:rPr>
          <w:rFonts w:ascii="Crimson Text" w:eastAsia="Crimson Text" w:hAnsi="Crimson Text" w:cs="Crimson Text"/>
          <w:sz w:val="28"/>
          <w:szCs w:val="28"/>
        </w:rPr>
        <w:t>Baldeep Gill</w:t>
      </w:r>
      <w:r>
        <w:rPr>
          <w:noProof/>
        </w:rPr>
        <mc:AlternateContent>
          <mc:Choice Requires="wpg">
            <w:drawing>
              <wp:anchor distT="0" distB="0" distL="114300" distR="114300" simplePos="0" relativeHeight="251658240" behindDoc="0" locked="0" layoutInCell="1" hidden="0" allowOverlap="1" wp14:anchorId="3DF817DD" wp14:editId="71B850CC">
                <wp:simplePos x="0" y="0"/>
                <wp:positionH relativeFrom="column">
                  <wp:posOffset>2038350</wp:posOffset>
                </wp:positionH>
                <wp:positionV relativeFrom="paragraph">
                  <wp:posOffset>2556510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7A0808"/>
                          </a:solidFill>
                          <a:prstDash val="solid"/>
                          <a:round/>
                          <a:headEnd type="none" w="sm" len="sm"/>
                          <a:tailEnd type="none" w="sm" len="sm"/>
                        </a:ln>
                        <a:effectLst>
                          <a:outerShdw blurRad="40000" dist="20000" dir="5400000" rotWithShape="0">
                            <a:srgbClr val="000000">
                              <a:alpha val="0"/>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2038350</wp:posOffset>
                </wp:positionH>
                <wp:positionV relativeFrom="paragraph">
                  <wp:posOffset>2556510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2700" cy="12700"/>
                        </a:xfrm>
                        <a:prstGeom prst="rect"/>
                        <a:ln/>
                      </pic:spPr>
                    </pic:pic>
                  </a:graphicData>
                </a:graphic>
              </wp:anchor>
            </w:drawing>
          </mc:Fallback>
        </mc:AlternateContent>
      </w:r>
    </w:p>
    <w:p w14:paraId="06BD778E" w14:textId="77777777" w:rsidR="00D51F48" w:rsidRDefault="00000000">
      <w:pPr>
        <w:pStyle w:val="Subtitle"/>
        <w:spacing w:line="240" w:lineRule="auto"/>
        <w:jc w:val="left"/>
      </w:pPr>
      <w:bookmarkStart w:id="0" w:name="_s5b6hkpm2cvz" w:colFirst="0" w:colLast="0"/>
      <w:bookmarkEnd w:id="0"/>
      <w:r>
        <w:rPr>
          <w:rFonts w:ascii="Times New Roman" w:eastAsia="Times New Roman" w:hAnsi="Times New Roman" w:cs="Times New Roman"/>
          <w:b/>
          <w:bCs/>
          <w:i w:val="0"/>
          <w:iCs w:val="0"/>
          <w:sz w:val="22"/>
          <w:szCs w:val="22"/>
        </w:rPr>
        <w:t xml:space="preserve">Keywords: </w:t>
      </w:r>
      <w:r>
        <w:rPr>
          <w:rFonts w:ascii="Times New Roman" w:eastAsia="Times New Roman" w:hAnsi="Times New Roman" w:cs="Times New Roman"/>
          <w:color w:val="000000"/>
          <w:sz w:val="22"/>
          <w:szCs w:val="22"/>
        </w:rPr>
        <w:t>Gender, women’s health, national women’s health strategy, gender-based analysis, government</w:t>
      </w:r>
    </w:p>
    <w:p w14:paraId="2DA025BB" w14:textId="77777777" w:rsidR="00D51F48" w:rsidRDefault="00000000">
      <w:pPr>
        <w:pStyle w:val="Subtitle"/>
        <w:spacing w:after="0" w:line="360" w:lineRule="auto"/>
        <w:jc w:val="both"/>
        <w:rPr>
          <w:rFonts w:ascii="Times New Roman" w:eastAsia="Times New Roman" w:hAnsi="Times New Roman" w:cs="Times New Roman"/>
          <w:color w:val="000000"/>
          <w:sz w:val="22"/>
          <w:szCs w:val="22"/>
        </w:rPr>
      </w:pPr>
      <w:r>
        <w:rPr>
          <w:noProof/>
        </w:rPr>
        <w:drawing>
          <wp:anchor distT="114300" distB="114300" distL="114300" distR="114300" simplePos="0" relativeHeight="251659264" behindDoc="0" locked="0" layoutInCell="1" hidden="0" allowOverlap="1" wp14:anchorId="4700A84E" wp14:editId="7F459E76">
            <wp:simplePos x="0" y="0"/>
            <wp:positionH relativeFrom="column">
              <wp:posOffset>57151</wp:posOffset>
            </wp:positionH>
            <wp:positionV relativeFrom="paragraph">
              <wp:posOffset>346849</wp:posOffset>
            </wp:positionV>
            <wp:extent cx="5829300" cy="2234565"/>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29300" cy="2234565"/>
                    </a:xfrm>
                    <a:prstGeom prst="rect">
                      <a:avLst/>
                    </a:prstGeom>
                    <a:ln/>
                  </pic:spPr>
                </pic:pic>
              </a:graphicData>
            </a:graphic>
          </wp:anchor>
        </w:drawing>
      </w:r>
    </w:p>
    <w:p w14:paraId="73D431AD" w14:textId="77777777" w:rsidR="00D51F48" w:rsidRDefault="00000000">
      <w:pPr>
        <w:pStyle w:val="Subtitle"/>
        <w:spacing w:after="0" w:line="360" w:lineRule="auto"/>
        <w:jc w:val="both"/>
        <w:rPr>
          <w:color w:val="000000"/>
          <w:sz w:val="21"/>
          <w:szCs w:val="21"/>
        </w:rPr>
      </w:pPr>
      <w:r>
        <w:rPr>
          <w:color w:val="000000"/>
          <w:sz w:val="21"/>
          <w:szCs w:val="21"/>
        </w:rPr>
        <w:br/>
      </w:r>
    </w:p>
    <w:p w14:paraId="2E82A346" w14:textId="77777777" w:rsidR="00D51F48" w:rsidRDefault="00D51F48"/>
    <w:p w14:paraId="64BE7DC8" w14:textId="77777777" w:rsidR="00D51F48" w:rsidRDefault="00D51F48"/>
    <w:p w14:paraId="7AEC5B30" w14:textId="77777777" w:rsidR="00D51F48" w:rsidRDefault="00D51F48"/>
    <w:p w14:paraId="5873321A" w14:textId="77777777" w:rsidR="00D51F48" w:rsidRDefault="00D51F48"/>
    <w:p w14:paraId="5655FE6A" w14:textId="77777777" w:rsidR="00D51F48" w:rsidRDefault="00D51F48"/>
    <w:p w14:paraId="3C0E02B9" w14:textId="77777777" w:rsidR="00D51F48" w:rsidRDefault="00D51F48"/>
    <w:p w14:paraId="008B415D" w14:textId="77777777" w:rsidR="00D51F48" w:rsidRDefault="00D51F48"/>
    <w:p w14:paraId="79572B34" w14:textId="77777777" w:rsidR="00D51F48" w:rsidRDefault="00D51F48"/>
    <w:p w14:paraId="2021605B" w14:textId="77777777" w:rsidR="00D51F48" w:rsidRDefault="00D51F48"/>
    <w:p w14:paraId="3B7A48AB" w14:textId="77777777" w:rsidR="00D51F48" w:rsidRDefault="00D51F48"/>
    <w:p w14:paraId="5D429825" w14:textId="77777777" w:rsidR="00D51F48" w:rsidRDefault="00000000">
      <w:pPr>
        <w:pStyle w:val="Subtitle"/>
        <w:spacing w:after="0" w:line="360" w:lineRule="auto"/>
        <w:jc w:val="both"/>
        <w:rPr>
          <w:rFonts w:ascii="Crimson Text" w:eastAsia="Crimson Text" w:hAnsi="Crimson Text" w:cs="Crimson Text"/>
          <w:b/>
          <w:bCs/>
          <w:color w:val="000000"/>
          <w:sz w:val="21"/>
          <w:szCs w:val="21"/>
        </w:rPr>
      </w:pPr>
      <w:r>
        <w:rPr>
          <w:rFonts w:ascii="Crimson Text" w:eastAsia="Crimson Text" w:hAnsi="Crimson Text" w:cs="Crimson Text"/>
          <w:b/>
          <w:bCs/>
          <w:sz w:val="40"/>
          <w:szCs w:val="40"/>
        </w:rPr>
        <w:lastRenderedPageBreak/>
        <w:t>Introduction</w:t>
      </w:r>
      <w:r>
        <w:rPr>
          <w:rFonts w:ascii="Crimson Text" w:eastAsia="Crimson Text" w:hAnsi="Crimson Text" w:cs="Crimson Text"/>
          <w:b/>
          <w:bCs/>
          <w:sz w:val="40"/>
          <w:szCs w:val="40"/>
        </w:rPr>
        <w:tab/>
      </w:r>
    </w:p>
    <w:p w14:paraId="5ED39CFB" w14:textId="77777777" w:rsidR="00D51F48" w:rsidRDefault="00000000">
      <w:pPr>
        <w:pStyle w:val="Subtitle"/>
        <w:spacing w:after="0" w:line="480" w:lineRule="auto"/>
        <w:jc w:val="both"/>
        <w:rPr>
          <w:rFonts w:ascii="Times New Roman" w:eastAsia="Times New Roman" w:hAnsi="Times New Roman" w:cs="Times New Roman"/>
          <w:i w:val="0"/>
          <w:iCs w:val="0"/>
          <w:color w:val="000000"/>
        </w:rPr>
      </w:pPr>
      <w:r>
        <w:rPr>
          <w:rFonts w:ascii="Crimson Text" w:eastAsia="Crimson Text" w:hAnsi="Crimson Text" w:cs="Crimson Text"/>
          <w:b/>
          <w:bCs/>
          <w:color w:val="000000"/>
          <w:sz w:val="21"/>
          <w:szCs w:val="21"/>
        </w:rPr>
        <w:tab/>
      </w:r>
      <w:r>
        <w:rPr>
          <w:rFonts w:ascii="Times New Roman" w:eastAsia="Times New Roman" w:hAnsi="Times New Roman" w:cs="Times New Roman"/>
          <w:i w:val="0"/>
          <w:iCs w:val="0"/>
          <w:color w:val="000000"/>
        </w:rPr>
        <w:t xml:space="preserve">Historically, around the world women's health needs have been excluded from medical research and practices, as their health needs are seen as secondary to men's health by medical researchers (McKinsey Health Institute, 2024). Women's health has been simplified to the point in which it only includes sexual and reproductive health (McKinsey Health Institute, 2024). This can be seen through the exclusion of women from clinical trials for several years (Balch, 2024). Not only did this exclusion hinder the development of effective treatments for conditions that disproportionately affect women, it also led to women experiencing several more harmful effects from ‘approved’ medication (Balch, 2024; McKinsey Health Institute, 2024). In the US, this can be seen in the year 2000 when women reported experiencing adverse events 52 percent more often than men who only reported 36 percent (McKinsey Health Institute, 2024). These statistics reiterate that women are disproportionately burdened by the effects from health care practices that cater towards men's health. </w:t>
      </w:r>
    </w:p>
    <w:p w14:paraId="773A2558" w14:textId="77777777" w:rsidR="00D51F48" w:rsidRDefault="00000000">
      <w:pPr>
        <w:widowControl w:val="0"/>
        <w:spacing w:after="0" w:line="480" w:lineRule="auto"/>
        <w:ind w:left="5" w:right="71" w:firstLine="7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I assert the need for equality in national healthcare. By analysing policy frameworks like </w:t>
      </w:r>
      <w:r>
        <w:rPr>
          <w:rFonts w:ascii="Times New Roman" w:eastAsia="Times New Roman" w:hAnsi="Times New Roman" w:cs="Times New Roman"/>
          <w:i/>
          <w:iCs/>
          <w:sz w:val="24"/>
          <w:szCs w:val="24"/>
        </w:rPr>
        <w:t xml:space="preserve">The National Women's Health Strategy </w:t>
      </w:r>
      <w:r>
        <w:rPr>
          <w:rFonts w:ascii="Times New Roman" w:eastAsia="Times New Roman" w:hAnsi="Times New Roman" w:cs="Times New Roman"/>
          <w:sz w:val="24"/>
          <w:szCs w:val="24"/>
        </w:rPr>
        <w:t xml:space="preserve">(NWHS), we see how a mere creation is not enough to resolve the inequalities impacting women's health. Therefore, to what degree has the NWHS succeeded in meeting its goals to enhance women’s health in Canada since its introduction? This paper begins by providing background on how women are disproportionately impacted, and then looks at the socio-economic, cultural and political factors impacting the progress of the policy, followed by a policy analysis of the NWHS to identify its strengths and weaknesses, ending the analysis with the impact it has on gender equality. Finally, ending the discussion with recommendations for women's health policies to be able to truly accommodate the needs of women. Ultimately, despite its progressive intentions, the NWHS has struggled to </w:t>
      </w:r>
      <w:r>
        <w:rPr>
          <w:rFonts w:ascii="Times New Roman" w:eastAsia="Times New Roman" w:hAnsi="Times New Roman" w:cs="Times New Roman"/>
          <w:sz w:val="24"/>
          <w:szCs w:val="24"/>
        </w:rPr>
        <w:lastRenderedPageBreak/>
        <w:t xml:space="preserve">achieve meaningful change due to entrenched structural, regional, and political resistance to gender-sensitive health reform. </w:t>
      </w:r>
    </w:p>
    <w:p w14:paraId="0CB78AD9" w14:textId="77777777" w:rsidR="00D51F48" w:rsidRDefault="00D51F48"/>
    <w:p w14:paraId="78564D44" w14:textId="77777777" w:rsidR="00D51F48" w:rsidRDefault="00000000">
      <w:pPr>
        <w:pStyle w:val="Subtitle"/>
        <w:spacing w:after="0" w:line="360" w:lineRule="auto"/>
        <w:jc w:val="both"/>
        <w:rPr>
          <w:rFonts w:ascii="Times New Roman" w:eastAsia="Times New Roman" w:hAnsi="Times New Roman" w:cs="Times New Roman"/>
        </w:rPr>
      </w:pPr>
      <w:bookmarkStart w:id="1" w:name="_pxq4xego277e" w:colFirst="0" w:colLast="0"/>
      <w:bookmarkEnd w:id="1"/>
      <w:r>
        <w:rPr>
          <w:rFonts w:ascii="Crimson Text" w:eastAsia="Crimson Text" w:hAnsi="Crimson Text" w:cs="Crimson Text"/>
          <w:b/>
          <w:bCs/>
          <w:sz w:val="40"/>
          <w:szCs w:val="40"/>
        </w:rPr>
        <w:t>Literature/Conceptual Framework</w:t>
      </w:r>
    </w:p>
    <w:p w14:paraId="21DF30E0" w14:textId="77777777" w:rsidR="00D51F48"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Canada, healthcare responsibilities are primarily allocated to either the provincial or territorial governments. The federal government sets national standards through the </w:t>
      </w:r>
      <w:r>
        <w:rPr>
          <w:rFonts w:ascii="Times New Roman" w:eastAsia="Times New Roman" w:hAnsi="Times New Roman" w:cs="Times New Roman"/>
          <w:i/>
          <w:iCs/>
          <w:sz w:val="24"/>
          <w:szCs w:val="24"/>
        </w:rPr>
        <w:t>Canada Health Act</w:t>
      </w:r>
      <w:r>
        <w:rPr>
          <w:rFonts w:ascii="Times New Roman" w:eastAsia="Times New Roman" w:hAnsi="Times New Roman" w:cs="Times New Roman"/>
          <w:sz w:val="24"/>
          <w:szCs w:val="24"/>
        </w:rPr>
        <w:t xml:space="preserve"> (CHA) and provides funding through the </w:t>
      </w:r>
      <w:r>
        <w:rPr>
          <w:rFonts w:ascii="Times New Roman" w:eastAsia="Times New Roman" w:hAnsi="Times New Roman" w:cs="Times New Roman"/>
          <w:i/>
          <w:iCs/>
          <w:sz w:val="24"/>
          <w:szCs w:val="24"/>
        </w:rPr>
        <w:t>Canada Health Transfer</w:t>
      </w:r>
      <w:r>
        <w:rPr>
          <w:rFonts w:ascii="Times New Roman" w:eastAsia="Times New Roman" w:hAnsi="Times New Roman" w:cs="Times New Roman"/>
          <w:sz w:val="24"/>
          <w:szCs w:val="24"/>
        </w:rPr>
        <w:t xml:space="preserve"> (CHT) (Canadian Medical Association, 2023). The two governments also collectively work together to ensure quality of care standards are met (Tikkanen et al., 2020). However, Canada recognizes that its system has not adequately understood the factors that continue “influencing the health status of women nor has it addressed women’s issues concerning research, education, leadership and health interventions (Health Canada, 2010).” This quote highlights the nation's failure to accommodate the needs of women as an overlooked group in society; however in the NWHS they do recognize that women's health goes beyond physical well-being and expands to their emotional and social well-being as well (Health Canada, 2010). This reasserts that women's health outcomes are determined by the social, political and economic contexts of their lives (Health Canada, 2010). </w:t>
      </w:r>
    </w:p>
    <w:p w14:paraId="0A62CEEE" w14:textId="77777777" w:rsidR="00D51F48" w:rsidRDefault="00000000">
      <w:pPr>
        <w:widowControl w:val="0"/>
        <w:spacing w:after="0" w:line="480" w:lineRule="auto"/>
        <w:ind w:left="6" w:right="21" w:firstLine="7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Women play a crucial role in society; they bear the double burden of economically contributing to society and caregiving within the home. Safaei (2009) highlights that culturally traditional gender roles and societal expectations influence women's health behaviours, access to healthcare and their experiences with healthcare providers. These inequitable experiences are shaped by race, ethnicity, immigration status, and sexual orientation (Safaei, 2009). This highlights the theory of intersectionality, emphasizing that women's experiences aren't simply shaped by their individual identities, rather these intersecting factors reinforce one another creating </w:t>
      </w:r>
      <w:r>
        <w:rPr>
          <w:rFonts w:ascii="Times New Roman" w:eastAsia="Times New Roman" w:hAnsi="Times New Roman" w:cs="Times New Roman"/>
          <w:sz w:val="24"/>
          <w:szCs w:val="24"/>
        </w:rPr>
        <w:lastRenderedPageBreak/>
        <w:t xml:space="preserve">unique forms of privilege and marginalization. </w:t>
      </w:r>
    </w:p>
    <w:p w14:paraId="0BA933DE" w14:textId="77777777" w:rsidR="00D51F48" w:rsidRDefault="00000000">
      <w:pPr>
        <w:widowControl w:val="0"/>
        <w:spacing w:after="0" w:line="480" w:lineRule="auto"/>
        <w:ind w:left="4" w:right="2" w:firstLine="7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Differences in socioeconomic positions also shape the health outcomes by influencing the conditions in which individuals grow, live, work and age in (Government of Canada, 2018). Material circumstances that influence these socio-economic conditions consist of housing standards, workplace conditions, neighborhood safety and amenities (Government of Canada, 2018). These factors are crucial circumstantial aspects that can either enhance or limit socio-economic growth and overall health outcomes. Some psycho-social factors include job strain, social isolation or connectedness, and access to social support (Government of Canada, 2018). These factors can significantly impact mental and physical health outcomes for women (Srivastava, 2012). Carrying the burden of adequately providing for the family affects a woman’s ability to remain psycho-socially secure; generally meaning that it affects her ability to feel safe and supported in the social and psychological environment around her (Merriam-Webster, 2018; Della Corte et al., 2020) . The above factors also influence a women's health behaviours, by influencing their diet, physical activity and harmful substance consumption like tobacco or alcohol abuse (Government of Canada, 2018). The interactions between these diverse factors are the pathways in which inequitable social processes translate into inequities in health outcomes (Government of Canada, 2018). </w:t>
      </w:r>
    </w:p>
    <w:p w14:paraId="75376FFC" w14:textId="77777777" w:rsidR="00D51F48" w:rsidRDefault="00000000">
      <w:pPr>
        <w:widowControl w:val="0"/>
        <w:spacing w:after="0" w:line="480" w:lineRule="auto"/>
        <w:ind w:left="6" w:right="184"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state's political condition is another major contributor to women's health. Political factors can significantly impact women's health by influencing their access to resources, healthcare and social protections. These issues can broadly consist of governance issues, legislation, and societal norms that directly impact women's rights, autonomy, and access to care. For instance, women's reproductive health and autonomy is a globally contested topic. Political decisions globally have created barriers to women's access to maternal care, safe abortion, and </w:t>
      </w:r>
      <w:r>
        <w:rPr>
          <w:rFonts w:ascii="Times New Roman" w:eastAsia="Times New Roman" w:hAnsi="Times New Roman" w:cs="Times New Roman"/>
          <w:sz w:val="24"/>
          <w:szCs w:val="24"/>
        </w:rPr>
        <w:lastRenderedPageBreak/>
        <w:t xml:space="preserve">access to contraception, severely impacting their reproductive health and overall well-being. Specifically in Canada women's access to abortion is not criminalized but is limited due to variations in funding, availability of services, and geographical barriers (Government of Canada, 2024). Limited federal funding, and provincial/territorial restrictions are political contributors to such barriers. The CHA and CHT set the standard that medically necessary services must be fully accessible, however abortion services are not fully funded if not medically necessary or if they do not meet standards defined in the CHA (Action Canada, 2022). The abortion policy issue in Canada is just one instance of political contributors to women's health outcomes. Like the disparities in policies governing abortion, women's general health is often overlooked as it becomes a less socially visible issue. </w:t>
      </w:r>
    </w:p>
    <w:p w14:paraId="6AD01A6B" w14:textId="77777777" w:rsidR="00D51F48" w:rsidRDefault="00D51F48">
      <w:pPr>
        <w:spacing w:after="0" w:line="479" w:lineRule="auto"/>
        <w:ind w:firstLine="720"/>
        <w:jc w:val="both"/>
        <w:rPr>
          <w:rFonts w:ascii="Times New Roman" w:eastAsia="Times New Roman" w:hAnsi="Times New Roman" w:cs="Times New Roman"/>
          <w:sz w:val="24"/>
          <w:szCs w:val="24"/>
        </w:rPr>
      </w:pPr>
    </w:p>
    <w:p w14:paraId="4C926F16" w14:textId="77777777" w:rsidR="00D51F48" w:rsidRDefault="00000000">
      <w:pPr>
        <w:pStyle w:val="Subtitle"/>
        <w:spacing w:after="0" w:line="360" w:lineRule="auto"/>
        <w:jc w:val="both"/>
        <w:rPr>
          <w:rFonts w:ascii="Crimson Text" w:eastAsia="Crimson Text" w:hAnsi="Crimson Text" w:cs="Crimson Text"/>
          <w:i w:val="0"/>
          <w:iCs w:val="0"/>
          <w:sz w:val="40"/>
          <w:szCs w:val="40"/>
        </w:rPr>
      </w:pPr>
      <w:bookmarkStart w:id="2" w:name="_poa6mlb5uzmy" w:colFirst="0" w:colLast="0"/>
      <w:bookmarkEnd w:id="2"/>
      <w:r>
        <w:rPr>
          <w:rFonts w:ascii="Crimson Text" w:eastAsia="Crimson Text" w:hAnsi="Crimson Text" w:cs="Crimson Text"/>
          <w:b/>
          <w:bCs/>
          <w:sz w:val="40"/>
          <w:szCs w:val="40"/>
        </w:rPr>
        <w:t>Policy Background</w:t>
      </w:r>
    </w:p>
    <w:p w14:paraId="28BC6E58" w14:textId="77777777" w:rsidR="00D51F48" w:rsidRDefault="00000000">
      <w:pPr>
        <w:widowControl w:val="0"/>
        <w:spacing w:after="0" w:line="480" w:lineRule="auto"/>
        <w:ind w:left="6" w:right="366"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Canada’s National Women's Health Strategy (NWHS) aims to improve women's health in Canada by making the system more responsive to women and women's health (Health Canada, 2010). Health Canada (2010) lists the policy objectives as: </w:t>
      </w:r>
    </w:p>
    <w:p w14:paraId="5FE1E728" w14:textId="77777777" w:rsidR="00D51F48" w:rsidRDefault="00000000">
      <w:pPr>
        <w:widowControl w:val="0"/>
        <w:spacing w:before="252" w:after="0" w:line="480" w:lineRule="auto"/>
        <w:ind w:left="1453" w:right="230" w:hanging="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“To ensure that Health Canada's policies and programs are responsive to sex and gender differences and to women's health needs” </w:t>
      </w:r>
    </w:p>
    <w:p w14:paraId="786DC46B" w14:textId="77777777" w:rsidR="00D51F48" w:rsidRDefault="00000000">
      <w:pPr>
        <w:widowControl w:val="0"/>
        <w:spacing w:before="252" w:after="0" w:line="480" w:lineRule="auto"/>
        <w:ind w:left="1446" w:right="301" w:hanging="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“To increase knowledge and understanding of women's health and women's health needs” </w:t>
      </w:r>
    </w:p>
    <w:p w14:paraId="26152360" w14:textId="77777777" w:rsidR="00D51F48" w:rsidRDefault="00000000">
      <w:pPr>
        <w:widowControl w:val="0"/>
        <w:spacing w:before="252" w:after="0" w:line="480" w:lineRule="auto"/>
        <w:ind w:left="1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“To support the provision of effective health services to women” </w:t>
      </w:r>
    </w:p>
    <w:p w14:paraId="13FADFF0" w14:textId="77777777" w:rsidR="00D51F48" w:rsidRDefault="00000000">
      <w:pPr>
        <w:widowControl w:val="0"/>
        <w:spacing w:before="471" w:after="0" w:line="480" w:lineRule="auto"/>
        <w:ind w:left="1446" w:right="346"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“To promote good health through preventive measures and the reduction of risk </w:t>
      </w:r>
      <w:r>
        <w:rPr>
          <w:rFonts w:ascii="Times New Roman" w:eastAsia="Times New Roman" w:hAnsi="Times New Roman" w:cs="Times New Roman"/>
          <w:sz w:val="24"/>
          <w:szCs w:val="24"/>
        </w:rPr>
        <w:lastRenderedPageBreak/>
        <w:t>factors that most imperil the health of women”</w:t>
      </w:r>
    </w:p>
    <w:p w14:paraId="1A6DA74C" w14:textId="77777777" w:rsidR="00D51F48" w:rsidRDefault="00000000">
      <w:pPr>
        <w:widowControl w:val="0"/>
        <w:spacing w:after="0" w:line="480" w:lineRule="auto"/>
        <w:ind w:right="346"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Together, these objectives provide a clear reasoning as to why it is needed and sets out its aim to rectify health disparities, inequities and barriers women experience. The strategy provides a clear illustration of the government's commitment to improve women’s health by working on social factors like education, race and status. It emphasises how gender will be incorporated into policies and research frameworks to increase knowledge on women's needs. This showcased the government's vision to make progress in women's health nationally. However, since 1999, the strategy has lacked a clear structure that could allow for the monitoring of the progress of The Women’s Health Strategy. </w:t>
      </w:r>
    </w:p>
    <w:p w14:paraId="7BB7CF6B" w14:textId="77777777" w:rsidR="00D51F48" w:rsidRDefault="00D51F48">
      <w:pPr>
        <w:spacing w:after="0" w:line="479" w:lineRule="auto"/>
        <w:ind w:firstLine="720"/>
        <w:jc w:val="both"/>
        <w:rPr>
          <w:rFonts w:ascii="Times New Roman" w:eastAsia="Times New Roman" w:hAnsi="Times New Roman" w:cs="Times New Roman"/>
          <w:sz w:val="24"/>
          <w:szCs w:val="24"/>
        </w:rPr>
      </w:pPr>
    </w:p>
    <w:p w14:paraId="559D40A5" w14:textId="77777777" w:rsidR="00D51F48" w:rsidRDefault="00000000">
      <w:pPr>
        <w:pStyle w:val="Subtitle"/>
        <w:spacing w:after="0" w:line="360" w:lineRule="auto"/>
        <w:jc w:val="both"/>
        <w:rPr>
          <w:rFonts w:ascii="Crimson Text" w:eastAsia="Crimson Text" w:hAnsi="Crimson Text" w:cs="Crimson Text"/>
          <w:b/>
          <w:bCs/>
          <w:sz w:val="40"/>
          <w:szCs w:val="40"/>
        </w:rPr>
      </w:pPr>
      <w:bookmarkStart w:id="3" w:name="_kcly9panxk3r" w:colFirst="0" w:colLast="0"/>
      <w:bookmarkEnd w:id="3"/>
      <w:r>
        <w:rPr>
          <w:rFonts w:ascii="Crimson Text" w:eastAsia="Crimson Text" w:hAnsi="Crimson Text" w:cs="Crimson Text"/>
          <w:b/>
          <w:bCs/>
          <w:sz w:val="40"/>
          <w:szCs w:val="40"/>
        </w:rPr>
        <w:t>Policy Critique</w:t>
      </w:r>
    </w:p>
    <w:p w14:paraId="0CC5CEB0" w14:textId="77777777" w:rsidR="00D51F48" w:rsidRDefault="00000000">
      <w:pPr>
        <w:spacing w:after="0" w:line="48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 xml:space="preserve">The policy takes a holistic and gender sensitive approach that focuses on both biological differences and gender roles ensuring that women's health needs are considered from various perspectives. This reflects an intersectional lens that considers women and overlapping identities such as how race, socio-economic status and other factors influence health outcomes. By focusing on preventive measures and health promotion, these policies can help reduce long term disparities. For instance, programs that target specific health risk factors and diseases that disproportionately affect women like breast cancer, reproductive health, and mental health are vital (Health Canada, 2010). The gendered approach to increasing research funding also helps to ensure that women's health remains a priority in medical and health related studies ultimately contributing to more comprehensive options for women. The emphasis on increasing knowledge about women's health challenges and promoting research into sex and gender differences are crucial (Health Canada, </w:t>
      </w:r>
      <w:r>
        <w:rPr>
          <w:rFonts w:ascii="Times New Roman" w:eastAsia="Times New Roman" w:hAnsi="Times New Roman" w:cs="Times New Roman"/>
          <w:sz w:val="24"/>
          <w:szCs w:val="24"/>
        </w:rPr>
        <w:lastRenderedPageBreak/>
        <w:t>2010). Since women's health issues have been historically under-researched, addressing the differences is an important step in filling those gaps.</w:t>
      </w:r>
    </w:p>
    <w:p w14:paraId="1B96FA20" w14:textId="77777777" w:rsidR="00D51F48" w:rsidRDefault="00000000">
      <w:pPr>
        <w:widowControl w:val="0"/>
        <w:spacing w:after="0" w:line="480" w:lineRule="auto"/>
        <w:ind w:left="5" w:right="30" w:firstLine="7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also supports the policy's goal to support effective health services for women. Supporting effective health services entails that health care providers are aware of and responsive to women's health needs. The implementation of services like preventative screening (mammograms, pap-smears etc.) and specialized care sectors like obstetrics and gynecology specifically address health service disparities (Health Canada, 2010). The emphasis on the need for proactive health initiatives and preventative measures through the promotion of healthy lifestyles, awareness campaigns and reduction strategies are an important step in mitigating health disparities (Health Canada, 2010). Public health initiatives like breast cancer awareness, or other initiatives like cervical cancer screening which disproportionately affect women are crucial in advancing women's health (Health Canada, 2010). By targeting areas where women face unique health challenges the objectives aim to enhance gender equality in healthcare and empower women to take control of their health. These initiatives may work to strengthen the policy to show its progress, however they still fail to deliver outcomes. </w:t>
      </w:r>
    </w:p>
    <w:p w14:paraId="0A065C58" w14:textId="77777777" w:rsidR="00D51F48" w:rsidRDefault="00000000">
      <w:pPr>
        <w:widowControl w:val="0"/>
        <w:spacing w:after="0" w:line="480" w:lineRule="auto"/>
        <w:ind w:left="4" w:right="28" w:firstLine="72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policy aims to improve health services for women, there are gaps in the actual delivery. For instance, rural and remote communities lack access to adequate women-specific healthcare services, such as obstetrics or gynecological care. Also funding inconsistencies can result in sparse implementation of services across provinces and territories. For example, some regions may receive more robust funding for women's health programs while others fall behind. This institutional issue arises due to the fact that provinces and territories are responsible for the administration and funding of healthcare services (Government of Canada, 2018a). </w:t>
      </w:r>
    </w:p>
    <w:p w14:paraId="311150B8" w14:textId="77777777" w:rsidR="00D51F48" w:rsidRDefault="00000000">
      <w:pPr>
        <w:widowControl w:val="0"/>
        <w:spacing w:after="0" w:line="480" w:lineRule="auto"/>
        <w:ind w:left="4" w:right="276" w:firstLine="7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objectives are comprehensive, they lack measurable outcomes and data </w:t>
      </w:r>
      <w:r>
        <w:rPr>
          <w:rFonts w:ascii="Times New Roman" w:eastAsia="Times New Roman" w:hAnsi="Times New Roman" w:cs="Times New Roman"/>
          <w:sz w:val="24"/>
          <w:szCs w:val="24"/>
        </w:rPr>
        <w:lastRenderedPageBreak/>
        <w:t xml:space="preserve">collection, therefore it does not allow us to evaluate the long term impacts of these policies on women's health. Without a clear mechanism for feedback and strategic adjustments the policy may not be fully responsive to the evolving health needs of women and may neglect the needs of minority groups. The objectives assert the need for Gender Based Analysis (GBA). GBA is an evidence-based process that examines existing programs and policies to assess their impact on gendered individuals (Health Canada, 2010). Hankivsky (2006), highlights a critique, that the government failed to incorporate GBA to further the understanding of health disparities. Asserting that there is more gender blindness, as it overlooks “the fact that women are the majority of patients, paid and unpaid caregivers in Canada (Hankivsky, 2006).” Hankivsky (2006) also notes how federal, provincial and territorial initiatives also fail to recognize significant gender variations and their impacts highlighting the absence of gender and the isolated nature of women's health policy within the government. GBA is a valuable tool for promoting equity, and improving health outcomes for women. However, the government needs to work to fully integrate it into all its policies and programs, improve its monitoring and reporting to address the identified barriers to guarantee successful implementation of GBA-approved initiatives. </w:t>
      </w:r>
    </w:p>
    <w:p w14:paraId="005277E4" w14:textId="77777777" w:rsidR="00D51F48" w:rsidRDefault="00000000">
      <w:pPr>
        <w:widowControl w:val="0"/>
        <w:spacing w:after="0" w:line="480" w:lineRule="auto"/>
        <w:ind w:left="7" w:right="-13" w:firstLine="7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weaknesses in the implementation of the women's health policies stem from a combination of resource limitations, regional disparities and an insufficient focus on the intersectionality of gender and social factors. While the policy is ambitious, addressing the implementation gaps is crucial to improving the overall health and wellbeing of women in Canada. Strengthening monitoring and evaluation, and targeting underserved populations are key areas for improvement.</w:t>
      </w:r>
    </w:p>
    <w:p w14:paraId="76CE1F85" w14:textId="77777777" w:rsidR="00D51F48" w:rsidRDefault="00D51F48">
      <w:pPr>
        <w:widowControl w:val="0"/>
        <w:spacing w:after="0" w:line="480" w:lineRule="auto"/>
        <w:ind w:left="7" w:right="-13" w:firstLine="726"/>
        <w:jc w:val="both"/>
        <w:rPr>
          <w:rFonts w:ascii="Times New Roman" w:eastAsia="Times New Roman" w:hAnsi="Times New Roman" w:cs="Times New Roman"/>
          <w:sz w:val="24"/>
          <w:szCs w:val="24"/>
        </w:rPr>
      </w:pPr>
    </w:p>
    <w:p w14:paraId="5C9C2C46" w14:textId="77777777" w:rsidR="00D51F48" w:rsidRDefault="00000000">
      <w:pPr>
        <w:pStyle w:val="Subtitle"/>
        <w:spacing w:after="0" w:line="360" w:lineRule="auto"/>
        <w:jc w:val="both"/>
        <w:rPr>
          <w:rFonts w:ascii="Crimson Text" w:eastAsia="Crimson Text" w:hAnsi="Crimson Text" w:cs="Crimson Text"/>
          <w:b/>
          <w:bCs/>
          <w:sz w:val="40"/>
          <w:szCs w:val="40"/>
        </w:rPr>
      </w:pPr>
      <w:bookmarkStart w:id="4" w:name="_y1owdc4ycenb" w:colFirst="0" w:colLast="0"/>
      <w:bookmarkEnd w:id="4"/>
      <w:r>
        <w:rPr>
          <w:rFonts w:ascii="Crimson Text" w:eastAsia="Crimson Text" w:hAnsi="Crimson Text" w:cs="Crimson Text"/>
          <w:b/>
          <w:bCs/>
          <w:sz w:val="40"/>
          <w:szCs w:val="40"/>
        </w:rPr>
        <w:lastRenderedPageBreak/>
        <w:t>Case Examples</w:t>
      </w:r>
    </w:p>
    <w:p w14:paraId="6E5B645A" w14:textId="77777777" w:rsidR="00D51F48" w:rsidRDefault="00000000">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 xml:space="preserve">The Women’s Health Strategy </w:t>
      </w:r>
      <w:r>
        <w:rPr>
          <w:rFonts w:ascii="Times New Roman" w:eastAsia="Times New Roman" w:hAnsi="Times New Roman" w:cs="Times New Roman"/>
          <w:sz w:val="24"/>
          <w:szCs w:val="24"/>
        </w:rPr>
        <w:t xml:space="preserve">has significantly impacted women's health outcomes by fostering research into women's unique health needs and promoting gender equality in healthcare. To overcome the inequities in Canada's health research and health care system, the National Women's Health Research Initiative (NWHRI) launched in 2021 (Canadian Institutes of Health, 2022). The goal of this research initiative is to ensure “everyone has access to evidence-based, gender-sensitive, culturally safe, high quality care and services across their lifespan (Canadian Institutes of Health, 2022).” The initiative allows the Canadian healthcare system to recognize the gaps in women’s health research and improve the quality of care. </w:t>
      </w:r>
    </w:p>
    <w:p w14:paraId="4325B241" w14:textId="77777777" w:rsidR="00D51F48"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instance, in British Columbia, research at the University of British Columbia led to a better understanding of women's reproductive and sexual health, and has influenced policies to include free contraception (Chow, 2023). The initiative to provide free contraceptives allows women to prevent unintended pregnancy, as it allows them to be able to have economic stability in their lives and for their families; therefore ensuring that children and families are more likely to have adequate shelter and food security (Chow, 2023). This mitigation ensures the long term avoidance of negative health outcomes for women and children. According to Bernstein and Jones (2019), “access to reliable contraception will undoubtedly have significant implications for women. Allowing women to use the contraceptive method of their choice and more effectively plan pregnancies could improve their educational and career outcomes and increase their economic security.” This is reflected in B.C. through its raw data on how almost 860,000 women of reproductive age struggled to access effective birth control methods before the cost barrier was removed (Rolfsen, 2025). The 49% jump in women being able to access long-acting reversible contraception (LARC) holds the power to shift national pharmacare policies (Rolfsen, 2025). </w:t>
      </w:r>
    </w:p>
    <w:p w14:paraId="18342E20" w14:textId="77777777" w:rsidR="00D51F48" w:rsidRDefault="00000000">
      <w:pPr>
        <w:widowControl w:val="0"/>
        <w:spacing w:after="0" w:line="480" w:lineRule="auto"/>
        <w:ind w:left="6" w:right="32" w:firstLine="7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impact of increased research funding is evident above, however affordability is only a single part of addressing the barriers to access. Here we see again how regional disparities come into play. Free contraceptives are only available in BC and Manitoba, therefore, in the rest of Canada affordability still remains a barrier to access. Along with affordability and regional policy disparities, geographical barriers hinder the true impact of the policy. For instance those in rural and remote areas, tend to lack timely access to specialized care like reproductive, maternal and mental health. In provinces like Alberta, Saskatchewan, Manitoba, and Ontario, abortion providers are accessible only in urban areas, despite 35-40% of the population residing in rural communities (Action Canada, 2019). This reflects how access has not significantly reflected the success of the strategy's objective of providing “support for the provision of effective health services to women (Health Canada, 2010).” Though there has been improvement in the past couple years, Health Canada can make significant improvements in order to see better results from its strategy. </w:t>
      </w:r>
    </w:p>
    <w:p w14:paraId="24DA322E" w14:textId="77777777" w:rsidR="00D51F48" w:rsidRDefault="00D51F48">
      <w:pPr>
        <w:spacing w:after="0" w:line="480" w:lineRule="auto"/>
        <w:jc w:val="both"/>
        <w:rPr>
          <w:rFonts w:ascii="Times New Roman" w:eastAsia="Times New Roman" w:hAnsi="Times New Roman" w:cs="Times New Roman"/>
          <w:sz w:val="24"/>
          <w:szCs w:val="24"/>
        </w:rPr>
      </w:pPr>
    </w:p>
    <w:p w14:paraId="61C3DD29" w14:textId="77777777" w:rsidR="00D51F48" w:rsidRDefault="00000000">
      <w:pPr>
        <w:pStyle w:val="Subtitle"/>
        <w:spacing w:after="0" w:line="360" w:lineRule="auto"/>
        <w:jc w:val="both"/>
        <w:rPr>
          <w:rFonts w:ascii="Crimson Text" w:eastAsia="Crimson Text" w:hAnsi="Crimson Text" w:cs="Crimson Text"/>
          <w:b/>
          <w:bCs/>
          <w:sz w:val="40"/>
          <w:szCs w:val="40"/>
        </w:rPr>
      </w:pPr>
      <w:bookmarkStart w:id="5" w:name="_ntp9xlw70bfc" w:colFirst="0" w:colLast="0"/>
      <w:bookmarkEnd w:id="5"/>
      <w:r>
        <w:rPr>
          <w:rFonts w:ascii="Crimson Text" w:eastAsia="Crimson Text" w:hAnsi="Crimson Text" w:cs="Crimson Text"/>
          <w:b/>
          <w:bCs/>
          <w:sz w:val="40"/>
          <w:szCs w:val="40"/>
        </w:rPr>
        <w:t>Recommendations</w:t>
      </w:r>
    </w:p>
    <w:p w14:paraId="32084E8E" w14:textId="77777777" w:rsidR="00D51F48" w:rsidRDefault="00000000">
      <w:pPr>
        <w:widowControl w:val="0"/>
        <w:spacing w:after="0" w:line="480" w:lineRule="auto"/>
        <w:ind w:left="6" w:right="237" w:firstLine="7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ensure the success of the NWHS, it's important to prioritize a coordinated approach that addresses women's health inequities, invests in research and supports healthcare delivery and policy reforms. This means ensuring that policies and programs are responsive to sex and gender differences, increasing knowledge about women's health and supporting effective health services. </w:t>
      </w:r>
    </w:p>
    <w:p w14:paraId="03BA5D34" w14:textId="77777777" w:rsidR="00D51F48" w:rsidRDefault="00000000">
      <w:pPr>
        <w:widowControl w:val="0"/>
        <w:spacing w:after="0" w:line="480" w:lineRule="auto"/>
        <w:ind w:left="4" w:right="151" w:firstLine="7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forward, it's important that the NWHS is integrated into all levels of government, through joint planning and prioritisation, equal distribution of services can prosper across Canada (Atkinson et al., 2025). It is important that all levels of government collaborate to address the barriers that hinder women's health outcomes, whether societal, cultural or political. This could </w:t>
      </w:r>
      <w:r>
        <w:rPr>
          <w:rFonts w:ascii="Times New Roman" w:eastAsia="Times New Roman" w:hAnsi="Times New Roman" w:cs="Times New Roman"/>
          <w:sz w:val="24"/>
          <w:szCs w:val="24"/>
        </w:rPr>
        <w:lastRenderedPageBreak/>
        <w:t>address the systemic issues and encourage legal reforms like provincial autonomy in prioritisation of funding, policy changes, and community level interventions</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(Atkinson et al., 2025). Regional government collaboration would allow for equitable health care service access around Canada. </w:t>
      </w:r>
    </w:p>
    <w:p w14:paraId="1F964F89" w14:textId="77777777" w:rsidR="00D51F48" w:rsidRDefault="00000000">
      <w:pPr>
        <w:widowControl w:val="0"/>
        <w:spacing w:after="0" w:line="480" w:lineRule="auto"/>
        <w:ind w:left="4" w:right="163" w:firstLine="7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to begin to see progress, further investment in research and healthcare practices catered to women are important as well (Chyzzy et al., 2024). This involves expanding GBA to include basic and complex women's health needs. GBA focused research can push for more research on areas like autoimmune diseases, hormonal health, maternal health, and chronic reproductive conditions that disproportionately affect women (Weise &amp; Gross, 2024). An increased focus on women's health in understudied areas can promote investigation in research to focus on the overlapping identities that suffer to receive adequate healthcare, ultimately leading to more effective healthcare strategies for diverse populations (Chyzzy et al., 2024). To truly achieve full gender equality in healthcare, it needs to address these challenges more vigorously, with targeted interventions, greater integration of services and a continued focus on addressing structural inequalities. </w:t>
      </w:r>
    </w:p>
    <w:p w14:paraId="647604B9" w14:textId="77777777" w:rsidR="00D51F48" w:rsidRDefault="00D51F48">
      <w:pPr>
        <w:widowControl w:val="0"/>
        <w:spacing w:after="0" w:line="480" w:lineRule="auto"/>
        <w:ind w:left="4" w:right="151" w:firstLine="725"/>
        <w:jc w:val="both"/>
        <w:rPr>
          <w:rFonts w:ascii="Times New Roman" w:eastAsia="Times New Roman" w:hAnsi="Times New Roman" w:cs="Times New Roman"/>
          <w:sz w:val="24"/>
          <w:szCs w:val="24"/>
        </w:rPr>
      </w:pPr>
    </w:p>
    <w:p w14:paraId="1EA011C3" w14:textId="77777777" w:rsidR="00D51F48" w:rsidRDefault="00000000">
      <w:pPr>
        <w:pStyle w:val="Subtitle"/>
        <w:spacing w:after="0" w:line="360" w:lineRule="auto"/>
        <w:jc w:val="both"/>
        <w:rPr>
          <w:rFonts w:ascii="Times New Roman" w:eastAsia="Times New Roman" w:hAnsi="Times New Roman" w:cs="Times New Roman"/>
        </w:rPr>
      </w:pPr>
      <w:bookmarkStart w:id="6" w:name="_yp8i8jtkqrxg" w:colFirst="0" w:colLast="0"/>
      <w:bookmarkEnd w:id="6"/>
      <w:r>
        <w:rPr>
          <w:rFonts w:ascii="Crimson Text" w:eastAsia="Crimson Text" w:hAnsi="Crimson Text" w:cs="Crimson Text"/>
          <w:b/>
          <w:bCs/>
          <w:sz w:val="40"/>
          <w:szCs w:val="40"/>
        </w:rPr>
        <w:t>Conclusion</w:t>
      </w:r>
    </w:p>
    <w:p w14:paraId="7DD63689" w14:textId="77777777" w:rsidR="00D51F48" w:rsidRDefault="00000000">
      <w:pPr>
        <w:widowControl w:val="0"/>
        <w:spacing w:after="0" w:line="480" w:lineRule="auto"/>
        <w:ind w:left="4" w:right="163" w:firstLine="7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NWHS is a comprehensive Canadian policy that was implemented nearly 26 years ago, and has made limited progress in addressing the sex and gender differences in health care practices. Reflecting the point made by McKinsey Health Institute (2024), the progress the policy has been able to make has only focused on sexual health, this does not illustrate evolution. The analysis highlights how it lacks measurable goals preventing the average person from seeing progress. Without clear metrics, it's impossible for Canada to see its advancements or </w:t>
      </w:r>
      <w:r>
        <w:rPr>
          <w:rFonts w:ascii="Times New Roman" w:eastAsia="Times New Roman" w:hAnsi="Times New Roman" w:cs="Times New Roman"/>
          <w:sz w:val="24"/>
          <w:szCs w:val="24"/>
        </w:rPr>
        <w:lastRenderedPageBreak/>
        <w:t xml:space="preserve">shortcomings (Atkinson et al., 2025). Despite that, it's important to note that gender inequality is prevalent widely across Canada, which is why it is important that it is addressed in the healthcare sector effectively through mechanisms that ensure stability and sustainability. </w:t>
      </w:r>
    </w:p>
    <w:p w14:paraId="1DF717AA" w14:textId="77777777" w:rsidR="00D51F48" w:rsidRDefault="00000000">
      <w:pPr>
        <w:widowControl w:val="0"/>
        <w:spacing w:after="0" w:line="480" w:lineRule="auto"/>
        <w:ind w:left="13" w:right="313"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Implementing recommendations like an expansion of GBA and government collaboration are vital for ensuring that healthcare policies and programs are inclusive and equitable for all Canadian women. The strategy has made little progress since its launch in 1999 due to the lack of focus on the importance of GBA and the government’s commitment to intervening and protecting vulnerable groups. Like any sector, gender inequality in healthcare has broader implications that go beyond only affecting women. They lead to disparities in access to care, poorer health outcomes while perpetuating social inequities. Ultimately, these inequalities impact communities and the overall effectiveness of the healthcare system as well, therefore it is important to bring systemic changes to enhance the effectiveness of </w:t>
      </w:r>
      <w:r>
        <w:rPr>
          <w:rFonts w:ascii="Times New Roman" w:eastAsia="Times New Roman" w:hAnsi="Times New Roman" w:cs="Times New Roman"/>
          <w:i/>
          <w:iCs/>
          <w:sz w:val="24"/>
          <w:szCs w:val="24"/>
        </w:rPr>
        <w:t>The Women's Health Strategy.</w:t>
      </w:r>
    </w:p>
    <w:p w14:paraId="2B538BD5" w14:textId="77777777" w:rsidR="00D51F48" w:rsidRDefault="00D51F48">
      <w:pPr>
        <w:spacing w:after="0" w:line="480" w:lineRule="auto"/>
        <w:jc w:val="both"/>
        <w:rPr>
          <w:rFonts w:ascii="Times New Roman" w:eastAsia="Times New Roman" w:hAnsi="Times New Roman" w:cs="Times New Roman"/>
          <w:sz w:val="24"/>
          <w:szCs w:val="24"/>
        </w:rPr>
      </w:pPr>
    </w:p>
    <w:p w14:paraId="3F283143" w14:textId="77777777" w:rsidR="00D51F48" w:rsidRDefault="00D51F48"/>
    <w:p w14:paraId="03F6AABD" w14:textId="77777777" w:rsidR="00D51F48" w:rsidRDefault="00D51F48"/>
    <w:p w14:paraId="2900CE82" w14:textId="77777777" w:rsidR="00D51F48" w:rsidRDefault="00D51F48">
      <w:pPr>
        <w:spacing w:after="0" w:line="480" w:lineRule="auto"/>
        <w:ind w:firstLine="720"/>
        <w:jc w:val="both"/>
        <w:rPr>
          <w:rFonts w:ascii="Times New Roman" w:eastAsia="Times New Roman" w:hAnsi="Times New Roman" w:cs="Times New Roman"/>
          <w:sz w:val="24"/>
          <w:szCs w:val="24"/>
        </w:rPr>
      </w:pPr>
    </w:p>
    <w:p w14:paraId="1EFF0D65" w14:textId="77777777" w:rsidR="00D51F48" w:rsidRDefault="00D51F48">
      <w:pPr>
        <w:spacing w:after="0" w:line="480" w:lineRule="auto"/>
        <w:rPr>
          <w:rFonts w:ascii="Times New Roman" w:eastAsia="Times New Roman" w:hAnsi="Times New Roman" w:cs="Times New Roman"/>
          <w:sz w:val="18"/>
          <w:szCs w:val="18"/>
        </w:rPr>
      </w:pPr>
    </w:p>
    <w:p w14:paraId="39B1B010" w14:textId="77777777" w:rsidR="00D51F48" w:rsidRDefault="00D51F48"/>
    <w:p w14:paraId="70BC1D84" w14:textId="77777777" w:rsidR="00D51F48" w:rsidRDefault="00D51F48">
      <w:pPr>
        <w:rPr>
          <w:rFonts w:ascii="Times New Roman" w:eastAsia="Times New Roman" w:hAnsi="Times New Roman" w:cs="Times New Roman"/>
          <w:sz w:val="24"/>
          <w:szCs w:val="24"/>
        </w:rPr>
      </w:pPr>
    </w:p>
    <w:p w14:paraId="5BDF5C8F" w14:textId="77777777" w:rsidR="0051380A" w:rsidRDefault="0051380A">
      <w:pPr>
        <w:rPr>
          <w:rFonts w:ascii="Times New Roman" w:eastAsia="Times New Roman" w:hAnsi="Times New Roman" w:cs="Times New Roman"/>
          <w:sz w:val="24"/>
          <w:szCs w:val="24"/>
        </w:rPr>
      </w:pPr>
    </w:p>
    <w:p w14:paraId="60A7FE0F" w14:textId="7644F84E" w:rsidR="0051380A" w:rsidRDefault="0051380A">
      <w:pPr>
        <w:rPr>
          <w:rFonts w:ascii="Times New Roman" w:eastAsia="Times New Roman" w:hAnsi="Times New Roman" w:cs="Times New Roman"/>
          <w:sz w:val="24"/>
          <w:szCs w:val="24"/>
        </w:rPr>
      </w:pPr>
    </w:p>
    <w:p w14:paraId="7BC54AA2" w14:textId="77777777" w:rsidR="00D51F48" w:rsidRDefault="00D51F48">
      <w:pPr>
        <w:rPr>
          <w:rFonts w:ascii="Times New Roman" w:eastAsia="Times New Roman" w:hAnsi="Times New Roman" w:cs="Times New Roman"/>
          <w:sz w:val="24"/>
          <w:szCs w:val="24"/>
        </w:rPr>
      </w:pPr>
    </w:p>
    <w:p w14:paraId="5ACD2874" w14:textId="77777777" w:rsidR="00D51F48" w:rsidRDefault="00000000">
      <w:pPr>
        <w:pStyle w:val="Heading3"/>
        <w:jc w:val="center"/>
        <w:rPr>
          <w:color w:val="7A0808"/>
        </w:rPr>
      </w:pPr>
      <w:r>
        <w:rPr>
          <w:color w:val="7A0808"/>
        </w:rPr>
        <w:lastRenderedPageBreak/>
        <w:t>REFERENCES</w:t>
      </w:r>
    </w:p>
    <w:p w14:paraId="0B95D0DF"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Action Canada for Sexual Health and Rights. (2019). </w:t>
      </w:r>
      <w:r>
        <w:rPr>
          <w:rFonts w:ascii="Times New Roman" w:eastAsia="Times New Roman" w:hAnsi="Times New Roman" w:cs="Times New Roman"/>
          <w:i/>
          <w:iCs/>
          <w:sz w:val="24"/>
          <w:szCs w:val="24"/>
        </w:rPr>
        <w:t>Access at a glance: Abortion services in Canada</w:t>
      </w:r>
      <w:r>
        <w:rPr>
          <w:rFonts w:ascii="Times New Roman" w:eastAsia="Times New Roman" w:hAnsi="Times New Roman" w:cs="Times New Roman"/>
          <w:sz w:val="24"/>
          <w:szCs w:val="24"/>
        </w:rPr>
        <w:t>.</w:t>
      </w:r>
      <w:hyperlink r:id="rId8">
        <w:r w:rsidR="00D51F48">
          <w:rPr>
            <w:rFonts w:ascii="Times New Roman" w:eastAsia="Times New Roman" w:hAnsi="Times New Roman" w:cs="Times New Roman"/>
            <w:color w:val="1155CC"/>
            <w:sz w:val="24"/>
            <w:szCs w:val="24"/>
            <w:u w:val="single"/>
          </w:rPr>
          <w:t>https://www.actioncanadashr.org/resources/factsheets-guidelines/2019-09-19-access-glance-abortion-services-canada</w:t>
        </w:r>
      </w:hyperlink>
      <w:r>
        <w:rPr>
          <w:rFonts w:ascii="Times New Roman" w:eastAsia="Times New Roman" w:hAnsi="Times New Roman" w:cs="Times New Roman"/>
          <w:sz w:val="24"/>
          <w:szCs w:val="24"/>
        </w:rPr>
        <w:t>.</w:t>
      </w:r>
    </w:p>
    <w:p w14:paraId="0D7AAF9D"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Action Canada for Sexual Health and Rights. (2022). </w:t>
      </w:r>
      <w:r>
        <w:rPr>
          <w:rFonts w:ascii="Times New Roman" w:eastAsia="Times New Roman" w:hAnsi="Times New Roman" w:cs="Times New Roman"/>
          <w:i/>
          <w:iCs/>
          <w:sz w:val="24"/>
          <w:szCs w:val="24"/>
        </w:rPr>
        <w:t>Trends in Barriers to Abortion Care</w:t>
      </w:r>
      <w:r>
        <w:rPr>
          <w:rFonts w:ascii="Times New Roman" w:eastAsia="Times New Roman" w:hAnsi="Times New Roman" w:cs="Times New Roman"/>
          <w:sz w:val="24"/>
          <w:szCs w:val="24"/>
        </w:rPr>
        <w:t xml:space="preserve">. </w:t>
      </w:r>
      <w:hyperlink r:id="rId9">
        <w:r w:rsidR="00D51F48">
          <w:rPr>
            <w:rFonts w:ascii="Times New Roman" w:eastAsia="Times New Roman" w:hAnsi="Times New Roman" w:cs="Times New Roman"/>
            <w:color w:val="1155CC"/>
            <w:sz w:val="24"/>
            <w:szCs w:val="24"/>
            <w:u w:val="single"/>
          </w:rPr>
          <w:t>https://www.actioncanadashr.org/resources/reports-analysis/2022-12-14-trends-barriers-abortion-care</w:t>
        </w:r>
      </w:hyperlink>
      <w:r>
        <w:rPr>
          <w:rFonts w:ascii="Times New Roman" w:eastAsia="Times New Roman" w:hAnsi="Times New Roman" w:cs="Times New Roman"/>
          <w:sz w:val="24"/>
          <w:szCs w:val="24"/>
        </w:rPr>
        <w:t>.</w:t>
      </w:r>
    </w:p>
    <w:p w14:paraId="36AFE125"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Atkinson, G., Rai, A., Wankah, P., Lavergne, R., Marshall, E. G., Embrett, M., Rayner, J., Reid, M., St. John, V., Beck, D., Aw, C., &amp; Oelke, N. D. (2025). The Intersection of Policy and Health Equity in Primary Health Care: A Policy Scan of 3 Canadian Provinces. </w:t>
      </w:r>
      <w:r>
        <w:rPr>
          <w:rFonts w:ascii="Times New Roman" w:eastAsia="Times New Roman" w:hAnsi="Times New Roman" w:cs="Times New Roman"/>
          <w:i/>
          <w:iCs/>
          <w:sz w:val="24"/>
          <w:szCs w:val="24"/>
          <w:highlight w:val="white"/>
        </w:rPr>
        <w:t>Journal of Primary Care &amp; Community Health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16</w:t>
      </w:r>
      <w:r>
        <w:rPr>
          <w:rFonts w:ascii="Times New Roman" w:eastAsia="Times New Roman" w:hAnsi="Times New Roman" w:cs="Times New Roman"/>
          <w:sz w:val="24"/>
          <w:szCs w:val="24"/>
          <w:highlight w:val="white"/>
        </w:rPr>
        <w:t>, 21501319251383598. https://doi.org/10.1177/21501319251383598</w:t>
      </w:r>
    </w:p>
    <w:p w14:paraId="145D0A62"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Balch, B. (2024). </w:t>
      </w:r>
      <w:r>
        <w:rPr>
          <w:rFonts w:ascii="Times New Roman" w:eastAsia="Times New Roman" w:hAnsi="Times New Roman" w:cs="Times New Roman"/>
          <w:i/>
          <w:iCs/>
          <w:sz w:val="24"/>
          <w:szCs w:val="24"/>
        </w:rPr>
        <w:t xml:space="preserve">Why we know so little about women’s health? </w:t>
      </w:r>
      <w:r>
        <w:rPr>
          <w:rFonts w:ascii="Times New Roman" w:eastAsia="Times New Roman" w:hAnsi="Times New Roman" w:cs="Times New Roman"/>
          <w:sz w:val="24"/>
          <w:szCs w:val="24"/>
        </w:rPr>
        <w:t xml:space="preserve">Association of American Medical Colleges. </w:t>
      </w:r>
      <w:hyperlink r:id="rId10">
        <w:r w:rsidR="00D51F48">
          <w:rPr>
            <w:rFonts w:ascii="Times New Roman" w:eastAsia="Times New Roman" w:hAnsi="Times New Roman" w:cs="Times New Roman"/>
            <w:color w:val="1155CC"/>
            <w:sz w:val="24"/>
            <w:szCs w:val="24"/>
            <w:u w:val="single"/>
          </w:rPr>
          <w:t>https://www.aamc.org/news/why-we-know-so-little-about-women-s-health</w:t>
        </w:r>
      </w:hyperlink>
      <w:r>
        <w:rPr>
          <w:rFonts w:ascii="Times New Roman" w:eastAsia="Times New Roman" w:hAnsi="Times New Roman" w:cs="Times New Roman"/>
          <w:sz w:val="24"/>
          <w:szCs w:val="24"/>
        </w:rPr>
        <w:t>.</w:t>
      </w:r>
    </w:p>
    <w:p w14:paraId="5063FF15"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Bernstein, A., &amp; Jones, K. (2019). </w:t>
      </w:r>
      <w:r>
        <w:rPr>
          <w:rFonts w:ascii="Times New Roman" w:eastAsia="Times New Roman" w:hAnsi="Times New Roman" w:cs="Times New Roman"/>
          <w:i/>
          <w:iCs/>
          <w:sz w:val="24"/>
          <w:szCs w:val="24"/>
        </w:rPr>
        <w:t xml:space="preserve">Economic effects of contraceptive access: A review of the evidence. </w:t>
      </w:r>
      <w:r>
        <w:rPr>
          <w:rFonts w:ascii="Times New Roman" w:eastAsia="Times New Roman" w:hAnsi="Times New Roman" w:cs="Times New Roman"/>
          <w:sz w:val="24"/>
          <w:szCs w:val="24"/>
        </w:rPr>
        <w:t xml:space="preserve">Center on the Economics of Reproductive Health. </w:t>
      </w:r>
      <w:hyperlink r:id="rId11">
        <w:r w:rsidR="00D51F48">
          <w:rPr>
            <w:rFonts w:ascii="Times New Roman" w:eastAsia="Times New Roman" w:hAnsi="Times New Roman" w:cs="Times New Roman"/>
            <w:color w:val="1155CC"/>
            <w:sz w:val="24"/>
            <w:szCs w:val="24"/>
            <w:u w:val="single"/>
          </w:rPr>
          <w:t>https://iwpr.org/wp-content/uploads/2020/07/B381_Contraception-Access_Final.pdf</w:t>
        </w:r>
      </w:hyperlink>
      <w:r>
        <w:rPr>
          <w:rFonts w:ascii="Times New Roman" w:eastAsia="Times New Roman" w:hAnsi="Times New Roman" w:cs="Times New Roman"/>
          <w:sz w:val="24"/>
          <w:szCs w:val="24"/>
        </w:rPr>
        <w:t>.</w:t>
      </w:r>
    </w:p>
    <w:p w14:paraId="273DAC49"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Canadian Institutes of Health Research. (2022). </w:t>
      </w:r>
      <w:r>
        <w:rPr>
          <w:rFonts w:ascii="Times New Roman" w:eastAsia="Times New Roman" w:hAnsi="Times New Roman" w:cs="Times New Roman"/>
          <w:i/>
          <w:iCs/>
          <w:sz w:val="24"/>
          <w:szCs w:val="24"/>
        </w:rPr>
        <w:t xml:space="preserve">Government of Canada launches the national women’s health research initiative. </w:t>
      </w:r>
      <w:r>
        <w:rPr>
          <w:rFonts w:ascii="Times New Roman" w:eastAsia="Times New Roman" w:hAnsi="Times New Roman" w:cs="Times New Roman"/>
          <w:sz w:val="24"/>
          <w:szCs w:val="24"/>
        </w:rPr>
        <w:t xml:space="preserve">Government of Canada. </w:t>
      </w:r>
      <w:hyperlink r:id="rId12">
        <w:r w:rsidR="00D51F48">
          <w:rPr>
            <w:rFonts w:ascii="Times New Roman" w:eastAsia="Times New Roman" w:hAnsi="Times New Roman" w:cs="Times New Roman"/>
            <w:color w:val="1155CC"/>
            <w:sz w:val="24"/>
            <w:szCs w:val="24"/>
            <w:u w:val="single"/>
          </w:rPr>
          <w:t>https://www.canada.ca/en/institutes-health-research/news/2022/10/government-of-canada-launches-the-national-womens-health-research-initiative.html</w:t>
        </w:r>
      </w:hyperlink>
      <w:r>
        <w:rPr>
          <w:rFonts w:ascii="Times New Roman" w:eastAsia="Times New Roman" w:hAnsi="Times New Roman" w:cs="Times New Roman"/>
          <w:sz w:val="24"/>
          <w:szCs w:val="24"/>
        </w:rPr>
        <w:t>.</w:t>
      </w:r>
    </w:p>
    <w:p w14:paraId="04073654"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Canadian Medical Association. (2023). Who pays for Canadian health care? </w:t>
      </w:r>
      <w:r>
        <w:rPr>
          <w:rFonts w:ascii="Times New Roman" w:eastAsia="Times New Roman" w:hAnsi="Times New Roman" w:cs="Times New Roman"/>
          <w:i/>
          <w:iCs/>
          <w:sz w:val="24"/>
          <w:szCs w:val="24"/>
        </w:rPr>
        <w:t xml:space="preserve">Canadian Medical </w:t>
      </w:r>
      <w:r>
        <w:rPr>
          <w:rFonts w:ascii="Times New Roman" w:eastAsia="Times New Roman" w:hAnsi="Times New Roman" w:cs="Times New Roman"/>
          <w:i/>
          <w:iCs/>
          <w:sz w:val="24"/>
          <w:szCs w:val="24"/>
        </w:rPr>
        <w:lastRenderedPageBreak/>
        <w:t xml:space="preserve">Association. </w:t>
      </w:r>
      <w:hyperlink r:id="rId13">
        <w:r w:rsidR="00D51F48">
          <w:rPr>
            <w:rFonts w:ascii="Times New Roman" w:eastAsia="Times New Roman" w:hAnsi="Times New Roman" w:cs="Times New Roman"/>
            <w:color w:val="1155CC"/>
            <w:sz w:val="24"/>
            <w:szCs w:val="24"/>
            <w:u w:val="single"/>
          </w:rPr>
          <w:t>https://www.cma.ca/healthcare-for-real/who-pays-canadian-health-care</w:t>
        </w:r>
      </w:hyperlink>
      <w:r>
        <w:rPr>
          <w:rFonts w:ascii="Times New Roman" w:eastAsia="Times New Roman" w:hAnsi="Times New Roman" w:cs="Times New Roman"/>
          <w:sz w:val="24"/>
          <w:szCs w:val="24"/>
        </w:rPr>
        <w:t>.</w:t>
      </w:r>
    </w:p>
    <w:p w14:paraId="23BBE4C6"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Chow, Q. (2023). </w:t>
      </w:r>
      <w:r>
        <w:rPr>
          <w:rFonts w:ascii="Times New Roman" w:eastAsia="Times New Roman" w:hAnsi="Times New Roman" w:cs="Times New Roman"/>
          <w:i/>
          <w:iCs/>
          <w:sz w:val="24"/>
          <w:szCs w:val="24"/>
        </w:rPr>
        <w:t>How UBC researchers laid the groundwork for free contraception in BC.</w:t>
      </w:r>
      <w:r>
        <w:rPr>
          <w:rFonts w:ascii="Times New Roman" w:eastAsia="Times New Roman" w:hAnsi="Times New Roman" w:cs="Times New Roman"/>
          <w:sz w:val="24"/>
          <w:szCs w:val="24"/>
        </w:rPr>
        <w:t xml:space="preserve"> UBC Faculty of Medicine. </w:t>
      </w:r>
      <w:hyperlink r:id="rId14">
        <w:r w:rsidR="00D51F48">
          <w:rPr>
            <w:rFonts w:ascii="Times New Roman" w:eastAsia="Times New Roman" w:hAnsi="Times New Roman" w:cs="Times New Roman"/>
            <w:color w:val="1155CC"/>
            <w:sz w:val="24"/>
            <w:szCs w:val="24"/>
            <w:u w:val="single"/>
          </w:rPr>
          <w:t>https://www.med.ubc.ca/news/how-ubc-researchers-laid-the-groundwork-for-free-contraception-in-b-c/</w:t>
        </w:r>
      </w:hyperlink>
      <w:r>
        <w:rPr>
          <w:rFonts w:ascii="Times New Roman" w:eastAsia="Times New Roman" w:hAnsi="Times New Roman" w:cs="Times New Roman"/>
          <w:sz w:val="24"/>
          <w:szCs w:val="24"/>
        </w:rPr>
        <w:t>.</w:t>
      </w:r>
    </w:p>
    <w:p w14:paraId="7A443281"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Chyzzy, B., Guruge, S., Schwan, K., Lee, J., &amp; Stewart, S. (2024). Breaking Siloed Policies: Applying a Gender-Based Analysis Plus (GBA+) to Homelessness during Pregnancy in Canada. </w:t>
      </w:r>
      <w:r>
        <w:rPr>
          <w:rFonts w:ascii="Times New Roman" w:eastAsia="Times New Roman" w:hAnsi="Times New Roman" w:cs="Times New Roman"/>
          <w:i/>
          <w:iCs/>
          <w:sz w:val="24"/>
          <w:szCs w:val="24"/>
        </w:rPr>
        <w:t>Social Sciences (Basel)</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w:t>
      </w:r>
      <w:r>
        <w:rPr>
          <w:rFonts w:ascii="Times New Roman" w:eastAsia="Times New Roman" w:hAnsi="Times New Roman" w:cs="Times New Roman"/>
          <w:sz w:val="24"/>
          <w:szCs w:val="24"/>
        </w:rPr>
        <w:t>(9), 486. https://doi.org/10.3390/socsci13090486</w:t>
      </w:r>
    </w:p>
    <w:p w14:paraId="25527002"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Della Corte, L., Di Filippo, C., Gabrielli, O., Reppuccia, S., La Rosa, V. L., Ragusa, R., Fichera, M., Commodari, E., Bifulco, G., &amp; Giampaolino, P. (2020). The Burden of Endometriosis on Women’s Lifespan: A Narrative Overview on Quality of Life and Psychosocial Wellbeing. </w:t>
      </w:r>
      <w:r>
        <w:rPr>
          <w:rFonts w:ascii="Times New Roman" w:eastAsia="Times New Roman" w:hAnsi="Times New Roman" w:cs="Times New Roman"/>
          <w:i/>
          <w:iCs/>
          <w:sz w:val="24"/>
          <w:szCs w:val="24"/>
        </w:rPr>
        <w:t>International Journal of Environmental Research and Public Health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17</w:t>
      </w:r>
      <w:r>
        <w:rPr>
          <w:rFonts w:ascii="Times New Roman" w:eastAsia="Times New Roman" w:hAnsi="Times New Roman" w:cs="Times New Roman"/>
          <w:sz w:val="24"/>
          <w:szCs w:val="24"/>
        </w:rPr>
        <w:t>(13), 4683. https://doi.org/10.3390/ijerph17134683</w:t>
      </w:r>
    </w:p>
    <w:p w14:paraId="669FBAD7"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of Canada. (2024). </w:t>
      </w:r>
      <w:r>
        <w:rPr>
          <w:rFonts w:ascii="Times New Roman" w:eastAsia="Times New Roman" w:hAnsi="Times New Roman" w:cs="Times New Roman"/>
          <w:i/>
          <w:iCs/>
          <w:sz w:val="24"/>
          <w:szCs w:val="24"/>
        </w:rPr>
        <w:t>Abortion in Canada</w:t>
      </w:r>
      <w:r>
        <w:rPr>
          <w:rFonts w:ascii="Times New Roman" w:eastAsia="Times New Roman" w:hAnsi="Times New Roman" w:cs="Times New Roman"/>
          <w:sz w:val="24"/>
          <w:szCs w:val="24"/>
        </w:rPr>
        <w:t xml:space="preserve">. </w:t>
      </w:r>
      <w:hyperlink r:id="rId15">
        <w:r w:rsidR="00D51F48">
          <w:rPr>
            <w:rFonts w:ascii="Times New Roman" w:eastAsia="Times New Roman" w:hAnsi="Times New Roman" w:cs="Times New Roman"/>
            <w:color w:val="1155CC"/>
            <w:sz w:val="24"/>
            <w:szCs w:val="24"/>
            <w:u w:val="single"/>
          </w:rPr>
          <w:t>https://www.canada.ca/en/employment-social-development/corporate/seniors-forum-federal-provincial-territorial/core-community-supports.html</w:t>
        </w:r>
      </w:hyperlink>
      <w:r>
        <w:rPr>
          <w:rFonts w:ascii="Times New Roman" w:eastAsia="Times New Roman" w:hAnsi="Times New Roman" w:cs="Times New Roman"/>
          <w:sz w:val="24"/>
          <w:szCs w:val="24"/>
        </w:rPr>
        <w:t>.</w:t>
      </w:r>
    </w:p>
    <w:p w14:paraId="18CFBA33"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of Canada. (2018a). Core community supports to age in community. </w:t>
      </w:r>
      <w:hyperlink r:id="rId16">
        <w:r w:rsidR="00D51F48">
          <w:rPr>
            <w:rFonts w:ascii="Times New Roman" w:eastAsia="Times New Roman" w:hAnsi="Times New Roman" w:cs="Times New Roman"/>
            <w:color w:val="1155CC"/>
            <w:sz w:val="24"/>
            <w:szCs w:val="24"/>
            <w:u w:val="single"/>
          </w:rPr>
          <w:t>https://www.canada.ca/en/employment-social-development/corporate/seniors-forum-federal-provincial-territorial/core-community-supports.html</w:t>
        </w:r>
      </w:hyperlink>
      <w:r>
        <w:rPr>
          <w:rFonts w:ascii="Times New Roman" w:eastAsia="Times New Roman" w:hAnsi="Times New Roman" w:cs="Times New Roman"/>
          <w:sz w:val="24"/>
          <w:szCs w:val="24"/>
        </w:rPr>
        <w:t>.</w:t>
      </w:r>
    </w:p>
    <w:p w14:paraId="7427062C"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Government of Canada. (2018b). </w:t>
      </w:r>
      <w:r>
        <w:rPr>
          <w:rFonts w:ascii="Times New Roman" w:eastAsia="Times New Roman" w:hAnsi="Times New Roman" w:cs="Times New Roman"/>
          <w:i/>
          <w:iCs/>
          <w:sz w:val="24"/>
          <w:szCs w:val="24"/>
        </w:rPr>
        <w:t>Key health inequalities in Canada: A national portrait</w:t>
      </w:r>
      <w:r>
        <w:rPr>
          <w:rFonts w:ascii="Times New Roman" w:eastAsia="Times New Roman" w:hAnsi="Times New Roman" w:cs="Times New Roman"/>
          <w:sz w:val="24"/>
          <w:szCs w:val="24"/>
        </w:rPr>
        <w:t xml:space="preserve">. </w:t>
      </w:r>
      <w:hyperlink r:id="rId17">
        <w:r w:rsidR="00D51F48">
          <w:rPr>
            <w:rFonts w:ascii="Times New Roman" w:eastAsia="Times New Roman" w:hAnsi="Times New Roman" w:cs="Times New Roman"/>
            <w:color w:val="1155CC"/>
            <w:sz w:val="24"/>
            <w:szCs w:val="24"/>
            <w:u w:val="single"/>
          </w:rPr>
          <w:t>https://www.canada.ca/en/public-health/services/publications/science-research-data/key-health-inequalities-canada-national-portrait-executive-summary.html</w:t>
        </w:r>
      </w:hyperlink>
      <w:r>
        <w:rPr>
          <w:rFonts w:ascii="Times New Roman" w:eastAsia="Times New Roman" w:hAnsi="Times New Roman" w:cs="Times New Roman"/>
          <w:sz w:val="24"/>
          <w:szCs w:val="24"/>
        </w:rPr>
        <w:t>.</w:t>
      </w:r>
    </w:p>
    <w:p w14:paraId="1824C969" w14:textId="77777777" w:rsidR="00D51F48"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Hankivsky, O. (2007). “Reflections on Women’s Health and Gender Equality in Canada.” </w:t>
      </w:r>
      <w:r>
        <w:rPr>
          <w:rFonts w:ascii="Times New Roman" w:eastAsia="Times New Roman" w:hAnsi="Times New Roman" w:cs="Times New Roman"/>
          <w:i/>
          <w:iCs/>
          <w:sz w:val="24"/>
          <w:szCs w:val="24"/>
          <w:highlight w:val="white"/>
        </w:rPr>
        <w:t>Resources for Feminist Research</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32</w:t>
      </w:r>
      <w:r>
        <w:rPr>
          <w:rFonts w:ascii="Times New Roman" w:eastAsia="Times New Roman" w:hAnsi="Times New Roman" w:cs="Times New Roman"/>
          <w:sz w:val="24"/>
          <w:szCs w:val="24"/>
          <w:highlight w:val="white"/>
        </w:rPr>
        <w:t>(3–4), 217.</w:t>
      </w:r>
    </w:p>
    <w:p w14:paraId="564F8B8C"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Health Canada. (2010). </w:t>
      </w:r>
      <w:r>
        <w:rPr>
          <w:rFonts w:ascii="Times New Roman" w:eastAsia="Times New Roman" w:hAnsi="Times New Roman" w:cs="Times New Roman"/>
          <w:i/>
          <w:iCs/>
          <w:sz w:val="24"/>
          <w:szCs w:val="24"/>
          <w:highlight w:val="white"/>
        </w:rPr>
        <w:t xml:space="preserve">Women’s Health Strategy. </w:t>
      </w:r>
      <w:r>
        <w:rPr>
          <w:rFonts w:ascii="Times New Roman" w:eastAsia="Times New Roman" w:hAnsi="Times New Roman" w:cs="Times New Roman"/>
          <w:sz w:val="24"/>
          <w:szCs w:val="24"/>
          <w:highlight w:val="white"/>
        </w:rPr>
        <w:t xml:space="preserve">Government of Canada. </w:t>
      </w:r>
      <w:hyperlink r:id="rId18">
        <w:r w:rsidR="00D51F48">
          <w:rPr>
            <w:rFonts w:ascii="Times New Roman" w:eastAsia="Times New Roman" w:hAnsi="Times New Roman" w:cs="Times New Roman"/>
            <w:color w:val="1155CC"/>
            <w:sz w:val="24"/>
            <w:szCs w:val="24"/>
            <w:u w:val="single"/>
          </w:rPr>
          <w:t>https://www.canada.ca/en/health-canada/corporate/about-health-canada/reports-publications/women-health-strategy.html</w:t>
        </w:r>
      </w:hyperlink>
      <w:r>
        <w:rPr>
          <w:rFonts w:ascii="Times New Roman" w:eastAsia="Times New Roman" w:hAnsi="Times New Roman" w:cs="Times New Roman"/>
          <w:sz w:val="24"/>
          <w:szCs w:val="24"/>
        </w:rPr>
        <w:t>.</w:t>
      </w:r>
    </w:p>
    <w:p w14:paraId="44A961DC"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McKinsey Health Institute. (2024). </w:t>
      </w:r>
      <w:r>
        <w:rPr>
          <w:rFonts w:ascii="Times New Roman" w:eastAsia="Times New Roman" w:hAnsi="Times New Roman" w:cs="Times New Roman"/>
          <w:i/>
          <w:iCs/>
          <w:sz w:val="24"/>
          <w:szCs w:val="24"/>
        </w:rPr>
        <w:t xml:space="preserve">Closing the women’s health gap: A $1 trillion opportunity to improve lives and economies. </w:t>
      </w:r>
      <w:r>
        <w:rPr>
          <w:rFonts w:ascii="Times New Roman" w:eastAsia="Times New Roman" w:hAnsi="Times New Roman" w:cs="Times New Roman"/>
          <w:sz w:val="24"/>
          <w:szCs w:val="24"/>
        </w:rPr>
        <w:t xml:space="preserve">McKinsey &amp; Company. </w:t>
      </w:r>
      <w:hyperlink r:id="rId19">
        <w:r w:rsidR="00D51F48">
          <w:rPr>
            <w:rFonts w:ascii="Times New Roman" w:eastAsia="Times New Roman" w:hAnsi="Times New Roman" w:cs="Times New Roman"/>
            <w:color w:val="1155CC"/>
            <w:sz w:val="24"/>
            <w:szCs w:val="24"/>
            <w:u w:val="single"/>
          </w:rPr>
          <w:t>https://www.mckinsey.com/mhi/our-insights/closing-the-womens-health-gap-a-1-trillion-dollar-opportunity-to-improve-lives-and-economies</w:t>
        </w:r>
      </w:hyperlink>
      <w:r>
        <w:rPr>
          <w:rFonts w:ascii="Times New Roman" w:eastAsia="Times New Roman" w:hAnsi="Times New Roman" w:cs="Times New Roman"/>
          <w:sz w:val="24"/>
          <w:szCs w:val="24"/>
        </w:rPr>
        <w:t>.</w:t>
      </w:r>
    </w:p>
    <w:p w14:paraId="311C1342"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Merriam-Webster. (2018). </w:t>
      </w:r>
      <w:r>
        <w:rPr>
          <w:rFonts w:ascii="Times New Roman" w:eastAsia="Times New Roman" w:hAnsi="Times New Roman" w:cs="Times New Roman"/>
          <w:i/>
          <w:iCs/>
          <w:sz w:val="24"/>
          <w:szCs w:val="24"/>
        </w:rPr>
        <w:t xml:space="preserve">Psychosocial. </w:t>
      </w:r>
      <w:hyperlink r:id="rId20">
        <w:r w:rsidR="00D51F48">
          <w:rPr>
            <w:rFonts w:ascii="Times New Roman" w:eastAsia="Times New Roman" w:hAnsi="Times New Roman" w:cs="Times New Roman"/>
            <w:color w:val="1155CC"/>
            <w:sz w:val="24"/>
            <w:szCs w:val="24"/>
            <w:u w:val="single"/>
          </w:rPr>
          <w:t>https://www.merriam-webster.com/dictionary/psychosocial</w:t>
        </w:r>
      </w:hyperlink>
      <w:r>
        <w:rPr>
          <w:rFonts w:ascii="Times New Roman" w:eastAsia="Times New Roman" w:hAnsi="Times New Roman" w:cs="Times New Roman"/>
          <w:sz w:val="24"/>
          <w:szCs w:val="24"/>
        </w:rPr>
        <w:t>.</w:t>
      </w:r>
    </w:p>
    <w:p w14:paraId="1D1B98C1"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Rolfsen, E. (2025). </w:t>
      </w:r>
      <w:r>
        <w:rPr>
          <w:rFonts w:ascii="Times New Roman" w:eastAsia="Times New Roman" w:hAnsi="Times New Roman" w:cs="Times New Roman"/>
          <w:i/>
          <w:iCs/>
          <w:sz w:val="24"/>
          <w:szCs w:val="24"/>
        </w:rPr>
        <w:t>Thousands more BC women chose top-tier birth control after patient costs eliminated</w:t>
      </w:r>
      <w:r>
        <w:rPr>
          <w:rFonts w:ascii="Times New Roman" w:eastAsia="Times New Roman" w:hAnsi="Times New Roman" w:cs="Times New Roman"/>
          <w:sz w:val="24"/>
          <w:szCs w:val="24"/>
        </w:rPr>
        <w:t xml:space="preserve">. UBC News. </w:t>
      </w:r>
      <w:hyperlink r:id="rId21">
        <w:r w:rsidR="00D51F48">
          <w:rPr>
            <w:rFonts w:ascii="Times New Roman" w:eastAsia="Times New Roman" w:hAnsi="Times New Roman" w:cs="Times New Roman"/>
            <w:color w:val="1155CC"/>
            <w:sz w:val="24"/>
            <w:szCs w:val="24"/>
            <w:u w:val="single"/>
          </w:rPr>
          <w:t>https://news.ubc.ca/2025/07/free-birth-control-uptake/</w:t>
        </w:r>
      </w:hyperlink>
      <w:r>
        <w:rPr>
          <w:rFonts w:ascii="Times New Roman" w:eastAsia="Times New Roman" w:hAnsi="Times New Roman" w:cs="Times New Roman"/>
          <w:sz w:val="24"/>
          <w:szCs w:val="24"/>
        </w:rPr>
        <w:t>.</w:t>
      </w:r>
    </w:p>
    <w:p w14:paraId="46BFEC6B" w14:textId="77777777" w:rsidR="00D51F48" w:rsidRDefault="00000000">
      <w:pPr>
        <w:widowControl w:val="0"/>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Safaei, J. (2009). Democracy and Women’s Health. </w:t>
      </w:r>
      <w:r>
        <w:rPr>
          <w:rFonts w:ascii="Times New Roman" w:eastAsia="Times New Roman" w:hAnsi="Times New Roman" w:cs="Times New Roman"/>
          <w:i/>
          <w:iCs/>
          <w:sz w:val="24"/>
          <w:szCs w:val="24"/>
        </w:rPr>
        <w:t>Mens Sana Monographs</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7</w:t>
      </w:r>
      <w:r>
        <w:rPr>
          <w:rFonts w:ascii="Times New Roman" w:eastAsia="Times New Roman" w:hAnsi="Times New Roman" w:cs="Times New Roman"/>
          <w:sz w:val="24"/>
          <w:szCs w:val="24"/>
        </w:rPr>
        <w:t>(1)</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20–36. </w:t>
      </w:r>
      <w:hyperlink r:id="rId22">
        <w:r w:rsidR="00D51F48">
          <w:rPr>
            <w:rFonts w:ascii="Times New Roman" w:eastAsia="Times New Roman" w:hAnsi="Times New Roman" w:cs="Times New Roman"/>
            <w:color w:val="1155CC"/>
            <w:sz w:val="24"/>
            <w:szCs w:val="24"/>
            <w:u w:val="single"/>
          </w:rPr>
          <w:t>https://doi.org/10.4103/0973-1229.42101</w:t>
        </w:r>
      </w:hyperlink>
      <w:r>
        <w:rPr>
          <w:rFonts w:ascii="Times New Roman" w:eastAsia="Times New Roman" w:hAnsi="Times New Roman" w:cs="Times New Roman"/>
          <w:sz w:val="24"/>
          <w:szCs w:val="24"/>
        </w:rPr>
        <w:t>.</w:t>
      </w:r>
    </w:p>
    <w:p w14:paraId="4BDDA993" w14:textId="77777777" w:rsidR="00D51F48"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Srivastava, K. (2012). Women and mental health: Psychosocial perspective. </w:t>
      </w:r>
      <w:r>
        <w:rPr>
          <w:rFonts w:ascii="Times New Roman" w:eastAsia="Times New Roman" w:hAnsi="Times New Roman" w:cs="Times New Roman"/>
          <w:i/>
          <w:iCs/>
          <w:sz w:val="24"/>
          <w:szCs w:val="24"/>
          <w:highlight w:val="white"/>
        </w:rPr>
        <w:t>Industrial Psychiatry Journal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iCs/>
          <w:sz w:val="24"/>
          <w:szCs w:val="24"/>
          <w:highlight w:val="white"/>
        </w:rPr>
        <w:t>21</w:t>
      </w:r>
      <w:r>
        <w:rPr>
          <w:rFonts w:ascii="Times New Roman" w:eastAsia="Times New Roman" w:hAnsi="Times New Roman" w:cs="Times New Roman"/>
          <w:sz w:val="24"/>
          <w:szCs w:val="24"/>
          <w:highlight w:val="white"/>
        </w:rPr>
        <w:t xml:space="preserve">(1), 1–3. </w:t>
      </w:r>
      <w:hyperlink r:id="rId23">
        <w:r w:rsidR="00D51F48">
          <w:rPr>
            <w:rFonts w:ascii="Times New Roman" w:eastAsia="Times New Roman" w:hAnsi="Times New Roman" w:cs="Times New Roman"/>
            <w:color w:val="1155CC"/>
            <w:sz w:val="24"/>
            <w:szCs w:val="24"/>
            <w:highlight w:val="white"/>
            <w:u w:val="single"/>
          </w:rPr>
          <w:t>https://doi.org/10.4103/0972-6748.110938</w:t>
        </w:r>
      </w:hyperlink>
    </w:p>
    <w:p w14:paraId="11BF4B0A" w14:textId="77777777" w:rsidR="00D51F48"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Tikkanen, R., Osborn, R., Mossialos, E., Djordjevic, A., &amp; Wharton, G. (2020). </w:t>
      </w:r>
      <w:r>
        <w:rPr>
          <w:rFonts w:ascii="Times New Roman" w:eastAsia="Times New Roman" w:hAnsi="Times New Roman" w:cs="Times New Roman"/>
          <w:i/>
          <w:iCs/>
          <w:sz w:val="24"/>
          <w:szCs w:val="24"/>
          <w:highlight w:val="white"/>
        </w:rPr>
        <w:t xml:space="preserve">Canada. </w:t>
      </w:r>
      <w:r>
        <w:rPr>
          <w:rFonts w:ascii="Times New Roman" w:eastAsia="Times New Roman" w:hAnsi="Times New Roman" w:cs="Times New Roman"/>
          <w:sz w:val="24"/>
          <w:szCs w:val="24"/>
          <w:highlight w:val="white"/>
        </w:rPr>
        <w:t xml:space="preserve">Commonwealth Fund. </w:t>
      </w:r>
      <w:hyperlink r:id="rId24">
        <w:r w:rsidR="00D51F48">
          <w:rPr>
            <w:rFonts w:ascii="Times New Roman" w:eastAsia="Times New Roman" w:hAnsi="Times New Roman" w:cs="Times New Roman"/>
            <w:color w:val="1155CC"/>
            <w:sz w:val="24"/>
            <w:szCs w:val="24"/>
            <w:u w:val="single"/>
          </w:rPr>
          <w:t>https://www.commonwealthfund.org/international-health-policy-center/countries/canada</w:t>
        </w:r>
      </w:hyperlink>
      <w:r>
        <w:rPr>
          <w:rFonts w:ascii="Times New Roman" w:eastAsia="Times New Roman" w:hAnsi="Times New Roman" w:cs="Times New Roman"/>
          <w:sz w:val="24"/>
          <w:szCs w:val="24"/>
        </w:rPr>
        <w:t>.</w:t>
      </w:r>
    </w:p>
    <w:p w14:paraId="72AE81EA" w14:textId="77777777" w:rsidR="00D51F48" w:rsidRDefault="00000000">
      <w:pPr>
        <w:widowControl w:val="0"/>
        <w:spacing w:after="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Weise, C., &amp; Gross, C. (2024). Why we need a stronger focus on women’s health in clinical psychology and psychological treatment. </w:t>
      </w:r>
      <w:r>
        <w:rPr>
          <w:rFonts w:ascii="Times New Roman" w:eastAsia="Times New Roman" w:hAnsi="Times New Roman" w:cs="Times New Roman"/>
          <w:i/>
          <w:iCs/>
          <w:sz w:val="24"/>
          <w:szCs w:val="24"/>
          <w:highlight w:val="white"/>
        </w:rPr>
        <w:t>Clinical Psychology in Europe, 6</w:t>
      </w:r>
      <w:r>
        <w:rPr>
          <w:rFonts w:ascii="Times New Roman" w:eastAsia="Times New Roman" w:hAnsi="Times New Roman" w:cs="Times New Roman"/>
          <w:sz w:val="24"/>
          <w:szCs w:val="24"/>
          <w:highlight w:val="white"/>
        </w:rPr>
        <w:t xml:space="preserve">(3), 1-8. </w:t>
      </w:r>
      <w:r>
        <w:rPr>
          <w:rFonts w:ascii="Times New Roman" w:eastAsia="Times New Roman" w:hAnsi="Times New Roman" w:cs="Times New Roman"/>
          <w:sz w:val="24"/>
          <w:szCs w:val="24"/>
        </w:rPr>
        <w:t xml:space="preserve"> https://doi.org/10.32872/cpe.15683.</w:t>
      </w:r>
    </w:p>
    <w:p w14:paraId="2BBAF28F" w14:textId="77777777" w:rsidR="00D51F48" w:rsidRDefault="00D51F48">
      <w:pPr>
        <w:widowControl w:val="0"/>
        <w:spacing w:after="0" w:line="480" w:lineRule="auto"/>
        <w:ind w:right="255"/>
        <w:rPr>
          <w:rFonts w:ascii="Times New Roman" w:eastAsia="Times New Roman" w:hAnsi="Times New Roman" w:cs="Times New Roman"/>
          <w:sz w:val="24"/>
          <w:szCs w:val="24"/>
        </w:rPr>
      </w:pPr>
    </w:p>
    <w:sectPr w:rsidR="00D51F48">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7224" w14:textId="77777777" w:rsidR="00607F1E" w:rsidRDefault="00607F1E">
      <w:pPr>
        <w:spacing w:after="0" w:line="240" w:lineRule="auto"/>
      </w:pPr>
      <w:r>
        <w:separator/>
      </w:r>
    </w:p>
  </w:endnote>
  <w:endnote w:type="continuationSeparator" w:id="0">
    <w:p w14:paraId="153BAA90" w14:textId="77777777" w:rsidR="00607F1E" w:rsidRDefault="0060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embedRegular r:id="rId1" w:fontKey="{4161A3D5-4D01-2349-8CBC-A16AFB9970B1}"/>
    <w:embedItalic r:id="rId2" w:fontKey="{0F83E775-24E7-B24E-8F83-7B1F6AB95DFC}"/>
  </w:font>
  <w:font w:name="Crimson Text">
    <w:charset w:val="00"/>
    <w:family w:val="auto"/>
    <w:pitch w:val="default"/>
    <w:embedRegular r:id="rId3" w:fontKey="{DD9F62AB-07F4-FE4D-8B6B-E458BCA254D2}"/>
    <w:embedBold r:id="rId4" w:fontKey="{B753AEC9-C12D-2044-9FDD-81A3F87D7ABA}"/>
    <w:embedItalic r:id="rId5" w:fontKey="{F8570B48-F396-204F-AC7E-991C6C34DECE}"/>
    <w:embedBoldItalic r:id="rId6" w:fontKey="{789A76E2-3CF4-7A4B-ADA4-CBDBF4A9E4B4}"/>
  </w:font>
  <w:font w:name="Times New Roman">
    <w:panose1 w:val="02020603050405020304"/>
    <w:charset w:val="00"/>
    <w:family w:val="roman"/>
    <w:pitch w:val="variable"/>
    <w:sig w:usb0="E0002EFF" w:usb1="C000785B" w:usb2="00000009" w:usb3="00000000" w:csb0="000001FF" w:csb1="00000000"/>
    <w:embedRegular r:id="rId7" w:fontKey="{D56082CC-3A61-F84A-ADF5-F8292F38D401}"/>
    <w:embedBold r:id="rId8" w:fontKey="{F312AD61-9D5B-D046-B8B4-2EA73B6F9280}"/>
    <w:embedItalic r:id="rId9" w:fontKey="{FD310F62-C4A3-A445-AC5A-A92F16C9F1FB}"/>
  </w:font>
  <w:font w:name="Calibri">
    <w:panose1 w:val="020F0502020204030204"/>
    <w:charset w:val="00"/>
    <w:family w:val="swiss"/>
    <w:pitch w:val="variable"/>
    <w:sig w:usb0="E0002AFF" w:usb1="C000247B" w:usb2="00000009" w:usb3="00000000" w:csb0="000001FF" w:csb1="00000000"/>
    <w:embedRegular r:id="rId10" w:fontKey="{11674FBD-D838-EE48-9300-1126CE4DD3DC}"/>
  </w:font>
  <w:font w:name="Cambria">
    <w:panose1 w:val="02040503050406030204"/>
    <w:charset w:val="00"/>
    <w:family w:val="roman"/>
    <w:pitch w:val="variable"/>
    <w:sig w:usb0="E00002FF" w:usb1="400004FF" w:usb2="00000000" w:usb3="00000000" w:csb0="0000019F" w:csb1="00000000"/>
    <w:embedRegular r:id="rId11" w:fontKey="{800CDE01-F72C-534D-BF40-8A0828111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85E8" w14:textId="77777777" w:rsidR="003D7352" w:rsidRDefault="003D7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08C3C" w14:textId="77777777" w:rsidR="00D51F48" w:rsidRDefault="00000000">
    <w:pPr>
      <w:pBdr>
        <w:top w:val="nil"/>
        <w:left w:val="nil"/>
        <w:bottom w:val="nil"/>
        <w:right w:val="nil"/>
        <w:between w:val="nil"/>
      </w:pBdr>
      <w:tabs>
        <w:tab w:val="center" w:pos="4680"/>
        <w:tab w:val="right" w:pos="9360"/>
      </w:tabs>
      <w:spacing w:after="0" w:line="240" w:lineRule="auto"/>
      <w:jc w:val="right"/>
      <w:rPr>
        <w:rFonts w:ascii="Crimson Text" w:eastAsia="Crimson Text" w:hAnsi="Crimson Text" w:cs="Crimson Text"/>
        <w:color w:val="7A0808"/>
        <w:sz w:val="24"/>
        <w:szCs w:val="24"/>
      </w:rPr>
    </w:pPr>
    <w:r>
      <w:rPr>
        <w:rFonts w:ascii="Crimson Text" w:eastAsia="Crimson Text" w:hAnsi="Crimson Text" w:cs="Crimson Text"/>
        <w:color w:val="7A0808"/>
        <w:sz w:val="24"/>
        <w:szCs w:val="24"/>
      </w:rPr>
      <w:t xml:space="preserve">| </w:t>
    </w:r>
    <w:r>
      <w:rPr>
        <w:rFonts w:ascii="Crimson Text" w:eastAsia="Crimson Text" w:hAnsi="Crimson Text" w:cs="Crimson Text"/>
        <w:color w:val="7A0808"/>
        <w:sz w:val="24"/>
        <w:szCs w:val="24"/>
      </w:rPr>
      <w:fldChar w:fldCharType="begin"/>
    </w:r>
    <w:r>
      <w:rPr>
        <w:rFonts w:ascii="Crimson Text" w:eastAsia="Crimson Text" w:hAnsi="Crimson Text" w:cs="Crimson Text"/>
        <w:color w:val="7A0808"/>
        <w:sz w:val="24"/>
        <w:szCs w:val="24"/>
      </w:rPr>
      <w:instrText>PAGE</w:instrText>
    </w:r>
    <w:r>
      <w:rPr>
        <w:rFonts w:ascii="Crimson Text" w:eastAsia="Crimson Text" w:hAnsi="Crimson Text" w:cs="Crimson Text"/>
        <w:color w:val="7A0808"/>
        <w:sz w:val="24"/>
        <w:szCs w:val="24"/>
      </w:rPr>
      <w:fldChar w:fldCharType="separate"/>
    </w:r>
    <w:r w:rsidR="0051380A">
      <w:rPr>
        <w:rFonts w:ascii="Crimson Text" w:eastAsia="Crimson Text" w:hAnsi="Crimson Text" w:cs="Crimson Text"/>
        <w:noProof/>
        <w:color w:val="7A0808"/>
        <w:sz w:val="24"/>
        <w:szCs w:val="24"/>
      </w:rPr>
      <w:t>1</w:t>
    </w:r>
    <w:r>
      <w:rPr>
        <w:rFonts w:ascii="Crimson Text" w:eastAsia="Crimson Text" w:hAnsi="Crimson Text" w:cs="Crimson Text"/>
        <w:color w:val="7A080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3BD1" w14:textId="77777777" w:rsidR="003D7352" w:rsidRDefault="003D7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5374" w14:textId="77777777" w:rsidR="00607F1E" w:rsidRDefault="00607F1E">
      <w:pPr>
        <w:spacing w:after="0" w:line="240" w:lineRule="auto"/>
      </w:pPr>
      <w:r>
        <w:separator/>
      </w:r>
    </w:p>
  </w:footnote>
  <w:footnote w:type="continuationSeparator" w:id="0">
    <w:p w14:paraId="22BDDC72" w14:textId="77777777" w:rsidR="00607F1E" w:rsidRDefault="00607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3C7E" w14:textId="77777777" w:rsidR="003D7352" w:rsidRDefault="003D7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4B81" w14:textId="04AD9F2C" w:rsidR="00D51F48" w:rsidRDefault="00000000">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7A0808"/>
      </w:rPr>
    </w:pPr>
    <w:r>
      <w:rPr>
        <w:rFonts w:ascii="Crimson Text" w:eastAsia="Crimson Text" w:hAnsi="Crimson Text" w:cs="Crimson Text"/>
        <w:color w:val="7A0808"/>
      </w:rPr>
      <w:t>Gadfly Undergraduate Journal of Political Science | 202</w:t>
    </w:r>
    <w:r w:rsidR="003D7352">
      <w:rPr>
        <w:rFonts w:ascii="Crimson Text" w:eastAsia="Crimson Text" w:hAnsi="Crimson Text" w:cs="Crimson Text"/>
        <w:color w:val="7A0808"/>
      </w:rPr>
      <w:t>6</w:t>
    </w:r>
    <w:r>
      <w:rPr>
        <w:rFonts w:ascii="Crimson Text" w:eastAsia="Crimson Text" w:hAnsi="Crimson Text" w:cs="Crimson Text"/>
        <w:color w:val="7A0808"/>
      </w:rPr>
      <w:tab/>
    </w:r>
  </w:p>
  <w:p w14:paraId="4B1B6A41" w14:textId="77777777" w:rsidR="00D51F48" w:rsidRDefault="00D51F48">
    <w:pPr>
      <w:pBdr>
        <w:top w:val="nil"/>
        <w:left w:val="nil"/>
        <w:bottom w:val="nil"/>
        <w:right w:val="nil"/>
        <w:between w:val="nil"/>
      </w:pBdr>
      <w:tabs>
        <w:tab w:val="center" w:pos="4680"/>
        <w:tab w:val="right" w:pos="9360"/>
      </w:tabs>
      <w:spacing w:after="0" w:line="240" w:lineRule="auto"/>
      <w:rPr>
        <w:rFonts w:ascii="Crimson Text" w:eastAsia="Crimson Text" w:hAnsi="Crimson Text" w:cs="Crimson Tex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3638" w14:textId="77777777" w:rsidR="003D7352" w:rsidRDefault="003D73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48"/>
    <w:rsid w:val="003D7352"/>
    <w:rsid w:val="0051380A"/>
    <w:rsid w:val="00594C95"/>
    <w:rsid w:val="00607F1E"/>
    <w:rsid w:val="00D51F48"/>
    <w:rsid w:val="00DD7A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EB8C7EC"/>
  <w15:docId w15:val="{6163119F-745A-334D-A4D5-06BBEA4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1"/>
        <w:szCs w:val="21"/>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rimson Text" w:eastAsia="Crimson Text" w:hAnsi="Crimson Text" w:cs="Crimson Text"/>
      <w:b/>
      <w:bCs/>
      <w:color w:val="7A0808"/>
      <w:sz w:val="32"/>
      <w:szCs w:val="32"/>
    </w:rPr>
  </w:style>
  <w:style w:type="paragraph" w:styleId="Heading2">
    <w:name w:val="heading 2"/>
    <w:basedOn w:val="Normal"/>
    <w:next w:val="Normal"/>
    <w:uiPriority w:val="9"/>
    <w:unhideWhenUsed/>
    <w:qFormat/>
    <w:pPr>
      <w:keepNext/>
      <w:keepLines/>
      <w:spacing w:before="40"/>
      <w:outlineLvl w:val="1"/>
    </w:pPr>
    <w:rPr>
      <w:rFonts w:ascii="Crimson Text" w:eastAsia="Crimson Text" w:hAnsi="Crimson Text" w:cs="Crimson Text"/>
      <w:b/>
      <w:bCs/>
      <w:color w:val="A0504F"/>
      <w:sz w:val="28"/>
      <w:szCs w:val="28"/>
    </w:rPr>
  </w:style>
  <w:style w:type="paragraph" w:styleId="Heading3">
    <w:name w:val="heading 3"/>
    <w:basedOn w:val="Normal"/>
    <w:next w:val="Normal"/>
    <w:uiPriority w:val="9"/>
    <w:unhideWhenUsed/>
    <w:qFormat/>
    <w:pPr>
      <w:keepNext/>
      <w:keepLines/>
      <w:spacing w:before="40"/>
      <w:outlineLvl w:val="2"/>
    </w:pPr>
    <w:rPr>
      <w:rFonts w:ascii="Crimson Text" w:eastAsia="Crimson Text" w:hAnsi="Crimson Text" w:cs="Crimson Text"/>
      <w:b/>
      <w:bCs/>
      <w:color w:val="7284A8"/>
      <w:sz w:val="28"/>
      <w:szCs w:val="28"/>
    </w:rPr>
  </w:style>
  <w:style w:type="paragraph" w:styleId="Heading4">
    <w:name w:val="heading 4"/>
    <w:basedOn w:val="Normal"/>
    <w:next w:val="Normal"/>
    <w:uiPriority w:val="9"/>
    <w:semiHidden/>
    <w:unhideWhenUsed/>
    <w:qFormat/>
    <w:pPr>
      <w:keepNext/>
      <w:keepLines/>
      <w:spacing w:before="40"/>
      <w:outlineLvl w:val="3"/>
    </w:pPr>
    <w:rPr>
      <w:rFonts w:ascii="Crimson Text" w:eastAsia="Crimson Text" w:hAnsi="Crimson Text" w:cs="Crimson Text"/>
      <w:i/>
      <w:iCs/>
      <w:color w:val="5B0505"/>
      <w:sz w:val="22"/>
      <w:szCs w:val="22"/>
    </w:rPr>
  </w:style>
  <w:style w:type="paragraph" w:styleId="Heading5">
    <w:name w:val="heading 5"/>
    <w:basedOn w:val="Normal"/>
    <w:next w:val="Normal"/>
    <w:uiPriority w:val="9"/>
    <w:semiHidden/>
    <w:unhideWhenUsed/>
    <w:qFormat/>
    <w:pPr>
      <w:keepNext/>
      <w:keepLines/>
      <w:spacing w:before="40"/>
      <w:outlineLvl w:val="4"/>
    </w:pPr>
    <w:rPr>
      <w:rFonts w:ascii="Crimson Text" w:eastAsia="Crimson Text" w:hAnsi="Crimson Text" w:cs="Crimson Text"/>
      <w:color w:val="5B0505"/>
      <w:sz w:val="22"/>
      <w:szCs w:val="22"/>
    </w:rPr>
  </w:style>
  <w:style w:type="paragraph" w:styleId="Heading6">
    <w:name w:val="heading 6"/>
    <w:basedOn w:val="Normal"/>
    <w:next w:val="Normal"/>
    <w:uiPriority w:val="9"/>
    <w:semiHidden/>
    <w:unhideWhenUsed/>
    <w:qFormat/>
    <w:pPr>
      <w:keepNext/>
      <w:keepLines/>
      <w:spacing w:before="40"/>
      <w:outlineLvl w:val="5"/>
    </w:pPr>
    <w:rPr>
      <w:rFonts w:ascii="Crimson Text" w:eastAsia="Crimson Text" w:hAnsi="Crimson Text" w:cs="Crimson Tex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Crimson Text" w:eastAsia="Crimson Text" w:hAnsi="Crimson Text" w:cs="Crimson Text"/>
      <w:b/>
      <w:bCs/>
      <w:color w:val="7A0808"/>
      <w:sz w:val="56"/>
      <w:szCs w:val="56"/>
    </w:rPr>
  </w:style>
  <w:style w:type="paragraph" w:styleId="Subtitle">
    <w:name w:val="Subtitle"/>
    <w:basedOn w:val="Normal"/>
    <w:next w:val="Normal"/>
    <w:uiPriority w:val="11"/>
    <w:qFormat/>
    <w:pPr>
      <w:spacing w:after="160"/>
      <w:jc w:val="center"/>
    </w:pPr>
    <w:rPr>
      <w:i/>
      <w:iCs/>
      <w:color w:val="A0504F"/>
      <w:sz w:val="24"/>
      <w:szCs w:val="24"/>
    </w:rPr>
  </w:style>
  <w:style w:type="paragraph" w:styleId="Header">
    <w:name w:val="header"/>
    <w:basedOn w:val="Normal"/>
    <w:link w:val="HeaderChar"/>
    <w:uiPriority w:val="99"/>
    <w:unhideWhenUsed/>
    <w:rsid w:val="003D7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352"/>
  </w:style>
  <w:style w:type="paragraph" w:styleId="Footer">
    <w:name w:val="footer"/>
    <w:basedOn w:val="Normal"/>
    <w:link w:val="FooterChar"/>
    <w:uiPriority w:val="99"/>
    <w:unhideWhenUsed/>
    <w:rsid w:val="003D7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ctioncanadashr.org/resources/factsheets-guidelines/2019-09-19-access-glance-abortion-services-canada" TargetMode="External"/><Relationship Id="rId13" Type="http://schemas.openxmlformats.org/officeDocument/2006/relationships/hyperlink" Target="https://www.cma.ca/healthcare-for-real/who-pays-canadian-health-care" TargetMode="External"/><Relationship Id="rId18" Type="http://schemas.openxmlformats.org/officeDocument/2006/relationships/hyperlink" Target="https://www.canada.ca/en/health-canada/corporate/about-health-canada/reports-publications/women-health-strategy.html"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news.ubc.ca/2025/07/free-birth-control-uptake/" TargetMode="External"/><Relationship Id="rId7" Type="http://schemas.openxmlformats.org/officeDocument/2006/relationships/image" Target="media/image1.png"/><Relationship Id="rId12" Type="http://schemas.openxmlformats.org/officeDocument/2006/relationships/hyperlink" Target="https://www.canada.ca/en/institutes-health-research/news/2022/10/government-of-canada-launches-the-national-womens-health-research-initiative.html" TargetMode="External"/><Relationship Id="rId17" Type="http://schemas.openxmlformats.org/officeDocument/2006/relationships/hyperlink" Target="https://www.canada.ca/en/public-health/services/publications/science-research-data/key-health-inequalities-canada-national-portrait-executive-summary.html"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canada.ca/en/employment-social-development/corporate/seniors-forum-federal-provincial-territorial/core-community-supports.html" TargetMode="External"/><Relationship Id="rId20" Type="http://schemas.openxmlformats.org/officeDocument/2006/relationships/hyperlink" Target="https://www.merriam-webster.com/dictionary/psychosocial"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iwpr.org/wp-content/uploads/2020/07/B381_Contraception-Access_Final.pdf" TargetMode="External"/><Relationship Id="rId24" Type="http://schemas.openxmlformats.org/officeDocument/2006/relationships/hyperlink" Target="https://www.commonwealthfund.org/international-health-policy-center/countries/canada"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canada.ca/en/employment-social-development/corporate/seniors-forum-federal-provincial-territorial/core-community-supports.html" TargetMode="External"/><Relationship Id="rId23" Type="http://schemas.openxmlformats.org/officeDocument/2006/relationships/hyperlink" Target="https://doi.org/10.4103/0972-6748.110938" TargetMode="External"/><Relationship Id="rId28" Type="http://schemas.openxmlformats.org/officeDocument/2006/relationships/footer" Target="footer2.xml"/><Relationship Id="rId10" Type="http://schemas.openxmlformats.org/officeDocument/2006/relationships/hyperlink" Target="https://www.aamc.org/news/why-we-know-so-little-about-women-s-health" TargetMode="External"/><Relationship Id="rId19" Type="http://schemas.openxmlformats.org/officeDocument/2006/relationships/hyperlink" Target="https://www.mckinsey.com/mhi/our-insights/closing-the-womens-health-gap-a-1-trillion-dollar-opportunity-to-improve-lives-and-economies"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ctioncanadashr.org/resources/reports-analysis/2022-12-14-trends-barriers-abortion-care" TargetMode="External"/><Relationship Id="rId14" Type="http://schemas.openxmlformats.org/officeDocument/2006/relationships/hyperlink" Target="https://www.med.ubc.ca/news/how-ubc-researchers-laid-the-groundwork-for-free-contraception-in-b-c/" TargetMode="External"/><Relationship Id="rId22" Type="http://schemas.openxmlformats.org/officeDocument/2006/relationships/hyperlink" Target="https://doi.org/10.4103/0973-1229.42101"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4044</Words>
  <Characters>23051</Characters>
  <Application>Microsoft Office Word</Application>
  <DocSecurity>0</DocSecurity>
  <Lines>192</Lines>
  <Paragraphs>54</Paragraphs>
  <ScaleCrop>false</ScaleCrop>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 Kim</cp:lastModifiedBy>
  <cp:revision>3</cp:revision>
  <dcterms:created xsi:type="dcterms:W3CDTF">2026-01-06T00:22:00Z</dcterms:created>
  <dcterms:modified xsi:type="dcterms:W3CDTF">2026-01-06T00:32:00Z</dcterms:modified>
</cp:coreProperties>
</file>