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Crimson Text" w:cs="Crimson Text" w:eastAsia="Crimson Text" w:hAnsi="Crimson Text"/>
          <w:i w:val="1"/>
          <w:iCs w:val="1"/>
          <w:color w:val="5b0505"/>
          <w:sz w:val="22"/>
          <w:szCs w:val="22"/>
        </w:rPr>
      </w:pPr>
      <w:r w:rsidDel="00000000" w:rsidR="00000000" w:rsidRPr="00000000">
        <w:rPr>
          <w:rFonts w:ascii="Crimson Text" w:cs="Crimson Text" w:eastAsia="Crimson Text" w:hAnsi="Crimson Text"/>
          <w:i w:val="1"/>
          <w:iCs w:val="1"/>
          <w:color w:val="5b0505"/>
          <w:sz w:val="22"/>
          <w:szCs w:val="22"/>
          <w:rtl w:val="0"/>
        </w:rPr>
        <w:t xml:space="preserve">La Théorie et Langue Politique</w:t>
      </w:r>
    </w:p>
    <w:p w:rsidR="00000000" w:rsidDel="00000000" w:rsidP="00000000" w:rsidRDefault="00000000" w:rsidRPr="00000000" w14:paraId="00000002">
      <w:pPr>
        <w:pStyle w:val="Title"/>
        <w:spacing w:line="240" w:lineRule="auto"/>
        <w:jc w:val="left"/>
        <w:rPr>
          <w:b w:val="0"/>
          <w:bCs w:val="0"/>
          <w:i w:val="1"/>
          <w:iCs w:val="1"/>
          <w:sz w:val="40"/>
          <w:szCs w:val="40"/>
        </w:rPr>
      </w:pPr>
      <w:r w:rsidDel="00000000" w:rsidR="00000000" w:rsidRPr="00000000">
        <w:rPr>
          <w:b w:val="0"/>
          <w:bCs w:val="0"/>
          <w:rtl w:val="0"/>
        </w:rPr>
        <w:t xml:space="preserve">| </w:t>
      </w:r>
      <w:r w:rsidDel="00000000" w:rsidR="00000000" w:rsidRPr="00000000">
        <w:rPr>
          <w:b w:val="0"/>
          <w:bCs w:val="0"/>
          <w:sz w:val="40"/>
          <w:szCs w:val="40"/>
          <w:rtl w:val="0"/>
        </w:rPr>
        <w:t xml:space="preserve">Critique du texte: The Redman’s Appeal for Justice, de Deskaheh</w:t>
      </w:r>
      <w:r w:rsidDel="00000000" w:rsidR="00000000" w:rsidRPr="00000000">
        <w:rPr>
          <w:rtl w:val="0"/>
        </w:rPr>
      </w:r>
    </w:p>
    <w:p w:rsidR="00000000" w:rsidDel="00000000" w:rsidP="00000000" w:rsidRDefault="00000000" w:rsidRPr="00000000" w14:paraId="00000003">
      <w:pPr>
        <w:pStyle w:val="Subtitle"/>
        <w:spacing w:line="240" w:lineRule="auto"/>
        <w:jc w:val="left"/>
        <w:rPr/>
      </w:pPr>
      <w:r w:rsidDel="00000000" w:rsidR="00000000" w:rsidRPr="00000000">
        <w:rPr>
          <w:rFonts w:ascii="Crimson Text" w:cs="Crimson Text" w:eastAsia="Crimson Text" w:hAnsi="Crimson Text"/>
          <w:sz w:val="28"/>
          <w:szCs w:val="28"/>
          <w:rtl w:val="0"/>
        </w:rPr>
        <w:t xml:space="preserve">Julia Soboleva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2038350</wp:posOffset>
                </wp:positionH>
                <wp:positionV relativeFrom="paragraph">
                  <wp:posOffset>2556510</wp:posOffset>
                </wp:positionV>
                <wp:extent cx="12700" cy="12700"/>
                <wp:effectExtent b="0" l="0" r="0" t="0"/>
                <wp:wrapNone/>
                <wp:docPr id="1" name=""/>
                <a:graphic>
                  <a:graphicData uri="http://schemas.microsoft.com/office/word/2010/wordprocessingShape">
                    <wps:wsp>
                      <wps:cNvCnPr/>
                      <wps:spPr>
                        <a:xfrm>
                          <a:off x="4431600" y="3780000"/>
                          <a:ext cx="1828800" cy="0"/>
                        </a:xfrm>
                        <a:prstGeom prst="straightConnector1">
                          <a:avLst/>
                        </a:prstGeom>
                        <a:noFill/>
                        <a:ln cap="flat" cmpd="sng" w="9525">
                          <a:solidFill>
                            <a:srgbClr val="7A0808"/>
                          </a:solidFill>
                          <a:prstDash val="solid"/>
                          <a:round/>
                          <a:headEnd len="sm" w="sm" type="none"/>
                          <a:tailEnd len="sm" w="sm" type="none"/>
                        </a:ln>
                        <a:effectLst>
                          <a:outerShdw blurRad="40000" rotWithShape="0" dir="5400000" dist="20000">
                            <a:srgbClr val="000000">
                              <a:alpha val="0"/>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2038350</wp:posOffset>
                </wp:positionH>
                <wp:positionV relativeFrom="paragraph">
                  <wp:posOffset>2556510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4">
      <w:pPr>
        <w:pStyle w:val="Subtitle"/>
        <w:spacing w:line="240" w:lineRule="auto"/>
        <w:jc w:val="left"/>
        <w:rPr/>
      </w:pPr>
      <w:bookmarkStart w:colFirst="0" w:colLast="0" w:name="_s5b6hkpm2cvz" w:id="0"/>
      <w:bookmarkEnd w:id="0"/>
      <w:r w:rsidDel="00000000" w:rsidR="00000000" w:rsidRPr="00000000">
        <w:rPr>
          <w:rFonts w:ascii="Times New Roman" w:cs="Times New Roman" w:eastAsia="Times New Roman" w:hAnsi="Times New Roman"/>
          <w:b w:val="1"/>
          <w:bCs w:val="1"/>
          <w:i w:val="0"/>
          <w:iCs w:val="0"/>
          <w:sz w:val="22"/>
          <w:szCs w:val="22"/>
          <w:rtl w:val="0"/>
        </w:rPr>
        <w:t xml:space="preserve">Mots clés: </w:t>
      </w:r>
      <w:r w:rsidDel="00000000" w:rsidR="00000000" w:rsidRPr="00000000">
        <w:rPr>
          <w:rFonts w:ascii="Times New Roman" w:cs="Times New Roman" w:eastAsia="Times New Roman" w:hAnsi="Times New Roman"/>
          <w:color w:val="000000"/>
          <w:sz w:val="22"/>
          <w:szCs w:val="22"/>
          <w:rtl w:val="0"/>
        </w:rPr>
        <w:t xml:space="preserve">Iroquois, Six Nations, société des nations, empire britannique, justice, conflit</w:t>
      </w:r>
      <w:r w:rsidDel="00000000" w:rsidR="00000000" w:rsidRPr="00000000">
        <w:rPr>
          <w:rtl w:val="0"/>
        </w:rPr>
      </w:r>
    </w:p>
    <w:p w:rsidR="00000000" w:rsidDel="00000000" w:rsidP="00000000" w:rsidRDefault="00000000" w:rsidRPr="00000000" w14:paraId="00000005">
      <w:pPr>
        <w:pStyle w:val="Subtitle"/>
        <w:spacing w:after="0" w:line="360" w:lineRule="auto"/>
        <w:jc w:val="both"/>
        <w:rPr>
          <w:rFonts w:ascii="Times New Roman" w:cs="Times New Roman" w:eastAsia="Times New Roman" w:hAnsi="Times New Roman"/>
          <w:color w:val="000000"/>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23813</wp:posOffset>
            </wp:positionH>
            <wp:positionV relativeFrom="paragraph">
              <wp:posOffset>307637</wp:posOffset>
            </wp:positionV>
            <wp:extent cx="5891213" cy="264349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891213" cy="2643493"/>
                    </a:xfrm>
                    <a:prstGeom prst="rect"/>
                    <a:ln/>
                  </pic:spPr>
                </pic:pic>
              </a:graphicData>
            </a:graphic>
          </wp:anchor>
        </w:drawing>
      </w:r>
    </w:p>
    <w:p w:rsidR="00000000" w:rsidDel="00000000" w:rsidP="00000000" w:rsidRDefault="00000000" w:rsidRPr="00000000" w14:paraId="00000006">
      <w:pPr>
        <w:pStyle w:val="Subtitle"/>
        <w:spacing w:after="0" w:line="360" w:lineRule="auto"/>
        <w:jc w:val="both"/>
        <w:rPr>
          <w:rFonts w:ascii="Open Sans" w:cs="Open Sans" w:eastAsia="Open Sans" w:hAnsi="Open Sans"/>
          <w:b w:val="0"/>
          <w:bCs w:val="0"/>
          <w:color w:val="000000"/>
          <w:sz w:val="21"/>
          <w:szCs w:val="21"/>
        </w:rPr>
      </w:pPr>
      <w:r w:rsidDel="00000000" w:rsidR="00000000" w:rsidRPr="00000000">
        <w:rPr>
          <w:rFonts w:ascii="Open Sans" w:cs="Open Sans" w:eastAsia="Open Sans" w:hAnsi="Open Sans"/>
          <w:b w:val="0"/>
          <w:bCs w:val="0"/>
          <w:color w:val="000000"/>
          <w:sz w:val="21"/>
          <w:szCs w:val="21"/>
          <w:rtl w:val="0"/>
        </w:rPr>
        <w:br w:type="textWrapping"/>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Subtitle"/>
        <w:spacing w:after="0" w:line="360" w:lineRule="auto"/>
        <w:jc w:val="both"/>
        <w:rPr>
          <w:rFonts w:ascii="Crimson Text" w:cs="Crimson Text" w:eastAsia="Crimson Text" w:hAnsi="Crimson Text"/>
          <w:b w:val="1"/>
          <w:bCs w:val="1"/>
          <w:color w:val="000000"/>
          <w:sz w:val="21"/>
          <w:szCs w:val="21"/>
        </w:rPr>
      </w:pPr>
      <w:r w:rsidDel="00000000" w:rsidR="00000000" w:rsidRPr="00000000">
        <w:rPr>
          <w:rFonts w:ascii="Crimson Text" w:cs="Crimson Text" w:eastAsia="Crimson Text" w:hAnsi="Crimson Text"/>
          <w:b w:val="1"/>
          <w:bCs w:val="1"/>
          <w:sz w:val="40"/>
          <w:szCs w:val="40"/>
          <w:rtl w:val="0"/>
        </w:rPr>
        <w:t xml:space="preserve">Introduction</w:t>
        <w:tab/>
      </w:r>
      <w:r w:rsidDel="00000000" w:rsidR="00000000" w:rsidRPr="00000000">
        <w:rPr>
          <w:rtl w:val="0"/>
        </w:rPr>
      </w:r>
    </w:p>
    <w:p w:rsidR="00000000" w:rsidDel="00000000" w:rsidP="00000000" w:rsidRDefault="00000000" w:rsidRPr="00000000" w14:paraId="00000011">
      <w:pPr>
        <w:pStyle w:val="Subtitle"/>
        <w:spacing w:after="0" w:line="480" w:lineRule="auto"/>
        <w:jc w:val="both"/>
        <w:rPr>
          <w:rFonts w:ascii="Times New Roman" w:cs="Times New Roman" w:eastAsia="Times New Roman" w:hAnsi="Times New Roman"/>
          <w:i w:val="0"/>
          <w:iCs w:val="0"/>
          <w:color w:val="000000"/>
        </w:rPr>
      </w:pPr>
      <w:r w:rsidDel="00000000" w:rsidR="00000000" w:rsidRPr="00000000">
        <w:rPr>
          <w:rFonts w:ascii="Crimson Text" w:cs="Crimson Text" w:eastAsia="Crimson Text" w:hAnsi="Crimson Text"/>
          <w:b w:val="1"/>
          <w:bCs w:val="1"/>
          <w:color w:val="000000"/>
          <w:sz w:val="21"/>
          <w:szCs w:val="21"/>
          <w:rtl w:val="0"/>
        </w:rPr>
        <w:tab/>
      </w:r>
      <w:r w:rsidDel="00000000" w:rsidR="00000000" w:rsidRPr="00000000">
        <w:rPr>
          <w:rFonts w:ascii="Times New Roman" w:cs="Times New Roman" w:eastAsia="Times New Roman" w:hAnsi="Times New Roman"/>
          <w:i w:val="0"/>
          <w:iCs w:val="0"/>
          <w:color w:val="000000"/>
          <w:rtl w:val="0"/>
        </w:rPr>
        <w:t xml:space="preserve">Le contexte historique dans lequel </w:t>
      </w:r>
      <w:r w:rsidDel="00000000" w:rsidR="00000000" w:rsidRPr="00000000">
        <w:rPr>
          <w:rFonts w:ascii="Times New Roman" w:cs="Times New Roman" w:eastAsia="Times New Roman" w:hAnsi="Times New Roman"/>
          <w:color w:val="000000"/>
          <w:rtl w:val="0"/>
        </w:rPr>
        <w:t xml:space="preserve">The Redman’s Appeal for Justice</w:t>
      </w:r>
      <w:r w:rsidDel="00000000" w:rsidR="00000000" w:rsidRPr="00000000">
        <w:rPr>
          <w:rFonts w:ascii="Times New Roman" w:cs="Times New Roman" w:eastAsia="Times New Roman" w:hAnsi="Times New Roman"/>
          <w:i w:val="0"/>
          <w:iCs w:val="0"/>
          <w:color w:val="000000"/>
          <w:rtl w:val="0"/>
        </w:rPr>
        <w:t xml:space="preserve"> a été rédigé représente le conflit entre l’État des Six Nations, l’Empire britannique et le Canada, observé par le biais des informations fournies par Deskaheh. Puisque cette lettre a été écrite par un chef </w:t>
      </w:r>
      <w:r w:rsidDel="00000000" w:rsidR="00000000" w:rsidRPr="00000000">
        <w:rPr>
          <w:rFonts w:ascii="Times New Roman" w:cs="Times New Roman" w:eastAsia="Times New Roman" w:hAnsi="Times New Roman"/>
          <w:i w:val="0"/>
          <w:iCs w:val="0"/>
          <w:color w:val="000000"/>
          <w:rtl w:val="0"/>
        </w:rPr>
        <w:t xml:space="preserve">Autochtone</w:t>
      </w:r>
      <w:r w:rsidDel="00000000" w:rsidR="00000000" w:rsidRPr="00000000">
        <w:rPr>
          <w:rFonts w:ascii="Times New Roman" w:cs="Times New Roman" w:eastAsia="Times New Roman" w:hAnsi="Times New Roman"/>
          <w:i w:val="0"/>
          <w:iCs w:val="0"/>
          <w:color w:val="000000"/>
          <w:rtl w:val="0"/>
        </w:rPr>
        <w:t xml:space="preserve">, elle aborde uniquement le point de vue des Autochtones sur le conflit mentionné ci-dessus et le point de vue de l’Empire britannique et du Canada sur la situation est donc exclu tant du texte que de la critique. L’objectif de celle-ci est d’évaluer la construction du discours de Deskaheh par le biais du résumé de la lettre d’abord et de l’analyse de ses forces et limites par la suite. Les forces de la lettre sont évaluées sur la base de la cohérence, de l’organisation et de la fluidité de l’argumentation de l’auteur. Deux limites sont également mises en lumière. La limite discursive est liée à l’emploi du vocabulaire eurocentré qui, malgré le fait de rendre la lettre plus accessible au destinataire, compromet la reconnaissance de la nature inhérente de la souveraineté iroquoise. Quant à la limite analytique, elle expose que la souveraineté iroquoise, pour être considérée légitime, doit être validée par une entité coloniale qui continue de se placer supérieure aux Autochtones et ne les considère toujours pas comme des égaux. La critique se termine par l’énonciation de sa pertinence pour l’étude académique du domaine de la science politique. Cette analyse de la lettre de Deskaheh permet de situer son discours dans le cadre d’une thématique plus large qu’est la décolonisation. L’importance de cette critique réside dans la réflexion sur comment les peuples Autochtones utilisent des stratégies rhétoriques pour défendre leur souveraineté dans un monde marqué par les tensions entre les valeurs classiques libérales, comme la liberté et l’égalité, et les pratiques coloniales, comme le capitalisme.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Subtitle"/>
        <w:spacing w:after="0" w:line="360" w:lineRule="auto"/>
        <w:jc w:val="both"/>
        <w:rPr>
          <w:rFonts w:ascii="Times New Roman" w:cs="Times New Roman" w:eastAsia="Times New Roman" w:hAnsi="Times New Roman"/>
          <w:sz w:val="24"/>
          <w:szCs w:val="24"/>
        </w:rPr>
      </w:pPr>
      <w:bookmarkStart w:colFirst="0" w:colLast="0" w:name="_pxq4xego277e" w:id="1"/>
      <w:bookmarkEnd w:id="1"/>
      <w:r w:rsidDel="00000000" w:rsidR="00000000" w:rsidRPr="00000000">
        <w:rPr>
          <w:rFonts w:ascii="Crimson Text" w:cs="Crimson Text" w:eastAsia="Crimson Text" w:hAnsi="Crimson Text"/>
          <w:b w:val="1"/>
          <w:bCs w:val="1"/>
          <w:sz w:val="40"/>
          <w:szCs w:val="40"/>
          <w:rtl w:val="0"/>
        </w:rPr>
        <w:t xml:space="preserve">Résume:</w:t>
      </w:r>
      <w:r w:rsidDel="00000000" w:rsidR="00000000" w:rsidRPr="00000000">
        <w:rPr>
          <w:rtl w:val="0"/>
        </w:rPr>
      </w:r>
    </w:p>
    <w:p w:rsidR="00000000" w:rsidDel="00000000" w:rsidP="00000000" w:rsidRDefault="00000000" w:rsidRPr="00000000" w14:paraId="00000015">
      <w:pPr>
        <w:spacing w:after="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Deskaheh a été un Autochtone d’ascendance iroquoise qui a milité pour la protection des droits et de l’héritage culturel des Autochtones. Il a été chef du peuple des Goyogouins faisant partie de l’État des Six Nations iroquoises, ainsi que président du Conseil des Six Nations de 1922 à 1925. En 1923, Deskaheh rédige </w:t>
      </w:r>
      <w:r w:rsidDel="00000000" w:rsidR="00000000" w:rsidRPr="00000000">
        <w:rPr>
          <w:rFonts w:ascii="Times New Roman" w:cs="Times New Roman" w:eastAsia="Times New Roman" w:hAnsi="Times New Roman"/>
          <w:i w:val="1"/>
          <w:iCs w:val="1"/>
          <w:sz w:val="24"/>
          <w:szCs w:val="24"/>
          <w:rtl w:val="0"/>
        </w:rPr>
        <w:t xml:space="preserve">The Redman’s Appeal for Justice</w:t>
      </w:r>
      <w:r w:rsidDel="00000000" w:rsidR="00000000" w:rsidRPr="00000000">
        <w:rPr>
          <w:rFonts w:ascii="Times New Roman" w:cs="Times New Roman" w:eastAsia="Times New Roman" w:hAnsi="Times New Roman"/>
          <w:sz w:val="24"/>
          <w:szCs w:val="24"/>
          <w:rtl w:val="0"/>
        </w:rPr>
        <w:t xml:space="preserve"> pour s’adresser au Secrétaire </w:t>
      </w:r>
      <w:r w:rsidDel="00000000" w:rsidR="00000000" w:rsidRPr="00000000">
        <w:rPr>
          <w:rFonts w:ascii="Times New Roman" w:cs="Times New Roman" w:eastAsia="Times New Roman" w:hAnsi="Times New Roman"/>
          <w:sz w:val="24"/>
          <w:szCs w:val="24"/>
          <w:rtl w:val="0"/>
        </w:rPr>
        <w:t xml:space="preserve">Général</w:t>
      </w:r>
      <w:r w:rsidDel="00000000" w:rsidR="00000000" w:rsidRPr="00000000">
        <w:rPr>
          <w:rFonts w:ascii="Times New Roman" w:cs="Times New Roman" w:eastAsia="Times New Roman" w:hAnsi="Times New Roman"/>
          <w:sz w:val="24"/>
          <w:szCs w:val="24"/>
          <w:rtl w:val="0"/>
        </w:rPr>
        <w:t xml:space="preserve"> de la Société des Nations et y parler des défis auxquels la souveraineté iroquoise fait face.</w:t>
      </w:r>
    </w:p>
    <w:p w:rsidR="00000000" w:rsidDel="00000000" w:rsidP="00000000" w:rsidRDefault="00000000" w:rsidRPr="00000000" w14:paraId="00000016">
      <w:pPr>
        <w:spacing w:after="0"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D’abord, la problématique du texte, constituant aussi le début de celui-ci, réside dans le fait que l’État des Six Nations est en conflit avec l’Empire britannique et le Canada. Les actions de l’Empire britannique et du Canada sont au cœur de ce conflit. Elles comprennent la violation de la souveraineté des peuples iroquois et la non-tenue de promesses faites à ces peuples. De plus, la problématique met en avant l’idée que, pour régler ce conflit, l’État des Six Nations doit devenir membre de la Société des Nations, tout comme l’Empire britannique et le Canada qui en sont déjà membres.</w:t>
      </w:r>
    </w:p>
    <w:p w:rsidR="00000000" w:rsidDel="00000000" w:rsidP="00000000" w:rsidRDefault="00000000" w:rsidRPr="00000000" w14:paraId="00000017">
      <w:pPr>
        <w:spacing w:after="0"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Ensuite, l’auteur rappelle au Secrétaire Général de la Société des Nations que les Six Nations ont pour des siècles été des nations souveraines exécutant leur autorité sur leurs territoires respectifs, ce qui a été reconnu par plusieurs puissances européennes, les États-Unis et le Canada. De plus, les Six Nations se sont retrouvées dans des alliances avec la France, les Pays-Bas et l’Empire britannique. Elles ont longtemps bénéficié de la protection que leur assurait l’Empire britannique, notamment durant la guerre entre la Grande-Bretagne et ses colonies nord-américaines. Deskaheh appuie cette souveraineté en nommant les traités clés - celui du wampum à deux rangs conclu en 1613, le traité de la Grande Paix de Montréal signé en 1701 et le Traité de Haldimand datant de 1784.</w:t>
      </w:r>
    </w:p>
    <w:p w:rsidR="00000000" w:rsidDel="00000000" w:rsidP="00000000" w:rsidRDefault="00000000" w:rsidRPr="00000000" w14:paraId="00000018">
      <w:pPr>
        <w:spacing w:after="0"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outre, l’auteur énumère les circonstances ayant permis au conflit de prendre de l’ampleur, telles que la modification de la Loi sur les Indiens, l’imposition des lois pénales impériales et l’emprisonnement des Autochtones sans raison définie. Deskaheh souligne également la gestion abusive des fonds des Six Nations par l’Empire britannique et une tentative d’invasion des territoires des Six Nations. L’auteur déclare que ces mesures constituent une autre atteinte à cette souveraineté. Il pointe aussi le refus de l’Empire britannique d’accepter les solutions que proposent les Six Nations et qui comprennent surtout la soumission du conflit à l’arbitrage impartial.</w:t>
      </w:r>
    </w:p>
    <w:p w:rsidR="00000000" w:rsidDel="00000000" w:rsidP="00000000" w:rsidRDefault="00000000" w:rsidRPr="00000000" w14:paraId="00000019">
      <w:pPr>
        <w:spacing w:after="0" w:line="48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Finalement, Deskaheh annonce que les Six Nations exigent l’action de la part de la Société des Nations afin de faire reconnaître leur droits, de leur allouer les fonds et de réparer les injustices subies.</w:t>
      </w:r>
    </w:p>
    <w:p w:rsidR="00000000" w:rsidDel="00000000" w:rsidP="00000000" w:rsidRDefault="00000000" w:rsidRPr="00000000" w14:paraId="0000001A">
      <w:pPr>
        <w:spacing w:after="0" w:line="479.99945454545457"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Style w:val="Subtitle"/>
        <w:spacing w:after="0" w:line="360" w:lineRule="auto"/>
        <w:jc w:val="both"/>
        <w:rPr>
          <w:rFonts w:ascii="Crimson Text" w:cs="Crimson Text" w:eastAsia="Crimson Text" w:hAnsi="Crimson Text"/>
          <w:i w:val="0"/>
          <w:iCs w:val="0"/>
          <w:sz w:val="40"/>
          <w:szCs w:val="40"/>
        </w:rPr>
      </w:pPr>
      <w:bookmarkStart w:colFirst="0" w:colLast="0" w:name="_poa6mlb5uzmy" w:id="2"/>
      <w:bookmarkEnd w:id="2"/>
      <w:r w:rsidDel="00000000" w:rsidR="00000000" w:rsidRPr="00000000">
        <w:rPr>
          <w:rFonts w:ascii="Crimson Text" w:cs="Crimson Text" w:eastAsia="Crimson Text" w:hAnsi="Crimson Text"/>
          <w:b w:val="1"/>
          <w:bCs w:val="1"/>
          <w:sz w:val="40"/>
          <w:szCs w:val="40"/>
          <w:rtl w:val="0"/>
        </w:rPr>
        <w:t xml:space="preserve">Critique:</w:t>
      </w:r>
      <w:r w:rsidDel="00000000" w:rsidR="00000000" w:rsidRPr="00000000">
        <w:rPr>
          <w:rtl w:val="0"/>
        </w:rPr>
      </w:r>
    </w:p>
    <w:p w:rsidR="00000000" w:rsidDel="00000000" w:rsidP="00000000" w:rsidRDefault="00000000" w:rsidRPr="00000000" w14:paraId="0000001C">
      <w:pPr>
        <w:widowControl w:val="0"/>
        <w:spacing w:after="0" w:before="0" w:line="480" w:lineRule="auto"/>
        <w:ind w:left="0" w:right="346.3262939453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lettre de Deskaheh témoigne de l’emploi des stratégies rhétoriques efficaces. L’une des forces de l’argumentation est sa structure cohérente. Les arguments de Deskaheh s’enchaînent de manière logique, ce qui lui permet de faire convenir sa position efficacement. En effet, pour que son destinataire puisse comprendre pourquoi les Six Nations iroquoises condamnent les actions de l’Empire britannique, Deskaheh commence par détailler l’historique de la place des Six Nations sur les territoires nord-américains et dans leurs relations avec l’Empire britannique. L’auteur présente ensuite les circonstances dans lesquelles le conflit prend de l’ampleur et justifie les demandes que font les Six Nations par la suite. L’énonciation de ces demandes permet à Deskaheh de graduellement retourner à sa déclaration principale, soit celle selon laquelle l’État des Six Nations doit devenir membre de la Société des Nations. De cette sorte, avec l’appui d’une telle cohérence de ce texte, le destinataire est en mesure de voir la progression dans le temps du conflit et des relations diplomatiques entre les Six Nations et l’Empire britannique. Grâce à cette progression que reconstruit Deskaheh, qui s’ajoute à la fluidité et au langage soutenu présents dans le texte, l’auteur possède des chances importantes de convaincre le destinataire de sa position.</w:t>
      </w:r>
    </w:p>
    <w:p w:rsidR="00000000" w:rsidDel="00000000" w:rsidP="00000000" w:rsidRDefault="00000000" w:rsidRPr="00000000" w14:paraId="0000001D">
      <w:pPr>
        <w:widowControl w:val="0"/>
        <w:spacing w:after="0" w:line="523.636363636363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Cela étant dit, l’argumentation de Deskaheh présente des limites discursives et analytiques, mettant en question la validité et l’efficacité de ses propos. Dans sa lettre, il dénonce la violation de la souveraineté iroquoise en employant régulièrement un vocabulaire politique de nature eurocentrée. Des exemples de celui-ci comprennent « Membership of the League » (Deskaheh 1), « State of the Six Nations of the Iroquois » (Deskaheh 1), « suzerain rights » (Deskaheh 2), « independent State » (Deskaheh 2) et « Dominion Government » (Deskaheh 4). Bien que Deskaheh emploie ce vocabulaire d’une manière stratégique, soit afin de s’adapter au destinataire de la lettre, le Secrétaire Général de Société des Nations, et de faire parvenir ses revendications d’une manière accessible à ce destinataire, un tel vocabulaire renforce une vision eurocentrée du concept de souveraineté. Ainsi, en absence de termes Autochtones pour définir ce concept, la Société des Nations ne sera pas incitée à réfléchir profondément aux moyens de changer le statu quo. Il ne pourrait donc pas y avoir de garanties que le discours de Deskaheh mènera à des actions concrètes de la part de la Société des Nations, plutôt qu’à un renforcement de la souveraineté iroquoise sur papier uniquement.</w:t>
      </w:r>
    </w:p>
    <w:p w:rsidR="00000000" w:rsidDel="00000000" w:rsidP="00000000" w:rsidRDefault="00000000" w:rsidRPr="00000000" w14:paraId="0000001E">
      <w:pPr>
        <w:widowControl w:val="0"/>
        <w:spacing w:after="0" w:line="523.636363636363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autre limite de l’argumentation de Deskaheh est de nature analytique. Le but de la lettre, à part de faire valider la souveraineté iroquoise, est de souligner que « The Six Nations of the Iroquois crave therefore invitation to accept the obligations of Membership of the League for the purpose of such dispute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 (Deskaheh 1). Deskaheh affirme donc que les Six Nations iroquoises souhaitent faire partie de la Société des Nations pour régler la dispute, ainsi que restituer leurs droits souverains. Toutefois, la requête de Deskaheh sous-entend que la souveraineté iroquoise, pour être considérée légitime, doit être validée par l’autorité coloniale et non à travers la nature inhérente de cette souveraineté. L’aspect controversé de la demande de Deskaheh est davantage renforcé par l’affirmation suivante : Deskaheh évoque que « [the Imperial Government refused] to prevent the continued agressions upon the Six Nations practised by the Dominion of Canada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 (Deskaheh 5). Par conséquent, il convient de se poser la question suivante : comment est-ce que Deskaheh puisse être persuadé que la Société des Nations, l’entité coloniale dont les états avaient déjà conclu des traités avec les Six Nations iroquoises mais n’avaient pas tenu leurs promesses, répondra aux demandes de Deskaheh?</w:t>
      </w:r>
    </w:p>
    <w:p w:rsidR="00000000" w:rsidDel="00000000" w:rsidP="00000000" w:rsidRDefault="00000000" w:rsidRPr="00000000" w14:paraId="0000001F">
      <w:pPr>
        <w:widowControl w:val="0"/>
        <w:spacing w:after="0" w:line="523.636363636363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question met en évidence les défis auxquels sont confrontés les peuples Autochtones pour faire reconnaitre leur autonomie dans le monde qui se décolonise. Le texte de Deskaheh s’inscrit dans le cadre du mouvement de décolonisation qui va à l’encontre de l’idéologie politique du libéralisme. Plus spécifiquement, Deskaheh expose les contradictions qui existent entre la rhétorique libérale, définie par des concepts tels que la liberté et l’égalité, et les pratiques coloniales. En annonçant que « The Six Nations now invoke the action of the League of Nations to secure: […] (5) Freedom of transit for the Six Nations across Canadian territory</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(Deskaheh 6), Deskaheh sous-entend que la liberté des Autochtones, celle de transit dans ce cas-ci, est constamment violée par l’Empire britannique et le Dominion du Canada. En ce qui concerne la violation du principe de l’égalité entre les Six Nations et le Dominion du Canada, Deskaheh le souligne en évoquant que « large sums of the Six Nations’ funds have been […] wasted without consent of the Six Nations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 (Deskaheh 4). Cette déclaration montre aussi que la dynamique du pouvoir dans laquelle les Allochtones se placent comme supérieurs aux Autochtones est également renforcée à travers le capitalisme, ce que Deskaheh lie à l’idéologie libérale impériale. Comme l’auteur le démontre dans sa lettre, le fait de s’approprier des biens des Autochtones va de pair avec le fait d’enfreindre les droits et la souveraineté de ceux-ci. De cette sorte, Deskaheh dénonce que l’Empire britannique et le Dominion du Canada emploient l’idéologie du libéralisme pour légitimer leurs pratiques coloniales, au lieu de décoloniser leur pensée et de faire avancer la réconciliation avec les Autochtones.</w:t>
      </w:r>
    </w:p>
    <w:p w:rsidR="00000000" w:rsidDel="00000000" w:rsidP="00000000" w:rsidRDefault="00000000" w:rsidRPr="00000000" w14:paraId="00000020">
      <w:pPr>
        <w:widowControl w:val="0"/>
        <w:spacing w:after="0" w:line="523.636363636363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lettre de Deskaheh est donc pertinente pour l’étude académique parce qu’à ce jour, malgré les avancements dans le processus de réconciliation avec les Autochtones, ce processus continue de se tenir au Canada. En fait, les Autochtones ne cessent toujours pas de se battre pour la protection de leurs droits en lien avec leurs terres ancestrales, leurs pratiques culturelles et leurs langues. Ainsi, le texte de Deskaheh nous permet non seulement de prendre du recul et d’observer les progrès déjà réalisés en matière des enjeux de souveraineté, de réconciliation et de violence coloniale, mais aussi d’établir quels sont les domaines de réconciliation nécessitant plus d’action de notre part. Il est également pertinent d’étudier ce texte en raison de la représentation qu’il donne aux concepts du champ de la science politique tels que la souveraineté, le libéralisme, le colonialisme et la réconciliation. En menant l’étude des réformes et des mouvements de contestation ou de décolonisation, il est essentiel de pouvoir repérer ces sujets dans le monde réel grâce à de tels textes historiques pour pouvoir y réfléchir critiquement et mieux saisir l’importance de ces sujets dans le domaine de la science politique.</w:t>
      </w:r>
    </w:p>
    <w:p w:rsidR="00000000" w:rsidDel="00000000" w:rsidP="00000000" w:rsidRDefault="00000000" w:rsidRPr="00000000" w14:paraId="00000021">
      <w:pPr>
        <w:widowControl w:val="0"/>
        <w:spacing w:after="0" w:line="523.636363636363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Style w:val="Subtitle"/>
        <w:spacing w:after="0" w:line="360" w:lineRule="auto"/>
        <w:jc w:val="both"/>
        <w:rPr>
          <w:rFonts w:ascii="Crimson Text" w:cs="Crimson Text" w:eastAsia="Crimson Text" w:hAnsi="Crimson Text"/>
          <w:b w:val="1"/>
          <w:bCs w:val="1"/>
          <w:sz w:val="40"/>
          <w:szCs w:val="40"/>
        </w:rPr>
      </w:pPr>
      <w:bookmarkStart w:colFirst="0" w:colLast="0" w:name="_kcly9panxk3r" w:id="3"/>
      <w:bookmarkEnd w:id="3"/>
      <w:r w:rsidDel="00000000" w:rsidR="00000000" w:rsidRPr="00000000">
        <w:rPr>
          <w:rFonts w:ascii="Crimson Text" w:cs="Crimson Text" w:eastAsia="Crimson Text" w:hAnsi="Crimson Text"/>
          <w:b w:val="1"/>
          <w:bCs w:val="1"/>
          <w:sz w:val="40"/>
          <w:szCs w:val="40"/>
          <w:rtl w:val="0"/>
        </w:rPr>
        <w:t xml:space="preserve">Conclusion</w:t>
      </w:r>
    </w:p>
    <w:p w:rsidR="00000000" w:rsidDel="00000000" w:rsidP="00000000" w:rsidRDefault="00000000" w:rsidRPr="00000000" w14:paraId="00000023">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lettre que rédige Deskaheh, le chef du peuple des Goyogoins, pour s’adresser au Secrétaire Général de Société des Nations, représente un document dont la portée possède à la fois des forces et des limites. La cohérence et l’organisation claire de son contenu rend les déclarations de Deskaheh convaincantes. Les limites du discours de l’auteur comprennent la nature eurocentrée du vocabulaire employé et la nécessité de la validation coloniale pour justifier les demandes de Deskaheh. Néanmoins, sa lettre permet d’approfondir la compréhension des enjeux auxquels font face les Autochtones pour défendre leur souveraineté. Les revendications de Deskaheh mettent en lumière l’ambiguïté de la position des puissances coloniales dans leurs rapports avec les peuples Autochtones. La contradiction entre les idéaux libéraux de liberté et d’égalité et les pratiques coloniales qui enfreignent ces droits demeure cruciale pour évaluer l’état actuel du processus de la réconciliation, qui nécessite la prise en considération équilibrée des perspectives des deux parties.</w:t>
      </w:r>
    </w:p>
    <w:p w:rsidR="00000000" w:rsidDel="00000000" w:rsidP="00000000" w:rsidRDefault="00000000" w:rsidRPr="00000000" w14:paraId="00000024">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Style w:val="Heading3"/>
        <w:jc w:val="center"/>
        <w:rPr>
          <w:color w:val="7a0808"/>
        </w:rPr>
      </w:pPr>
      <w:r w:rsidDel="00000000" w:rsidR="00000000" w:rsidRPr="00000000">
        <w:rPr>
          <w:color w:val="7a0808"/>
          <w:rtl w:val="0"/>
        </w:rPr>
        <w:t xml:space="preserve">Réferences</w:t>
      </w:r>
    </w:p>
    <w:p w:rsidR="00000000" w:rsidDel="00000000" w:rsidP="00000000" w:rsidRDefault="00000000" w:rsidRPr="00000000" w14:paraId="00000029">
      <w:pPr>
        <w:widowControl w:val="0"/>
        <w:spacing w:after="0"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Deskaheh. (1923). </w:t>
      </w:r>
      <w:r w:rsidDel="00000000" w:rsidR="00000000" w:rsidRPr="00000000">
        <w:rPr>
          <w:rFonts w:ascii="Times New Roman" w:cs="Times New Roman" w:eastAsia="Times New Roman" w:hAnsi="Times New Roman"/>
          <w:i w:val="1"/>
          <w:iCs w:val="1"/>
          <w:sz w:val="24"/>
          <w:szCs w:val="24"/>
          <w:highlight w:val="white"/>
          <w:rtl w:val="0"/>
        </w:rPr>
        <w:t xml:space="preserve">The Redman’s appeal for justice</w:t>
      </w:r>
      <w:r w:rsidDel="00000000" w:rsidR="00000000" w:rsidRPr="00000000">
        <w:rPr>
          <w:rFonts w:ascii="Times New Roman" w:cs="Times New Roman" w:eastAsia="Times New Roman" w:hAnsi="Times New Roman"/>
          <w:sz w:val="24"/>
          <w:szCs w:val="24"/>
          <w:highlight w:val="white"/>
          <w:rtl w:val="0"/>
        </w:rPr>
        <w:t xml:space="preserve"> [Pamphlet]. Simon Fraser University. </w:t>
      </w:r>
      <w:r w:rsidDel="00000000" w:rsidR="00000000" w:rsidRPr="00000000">
        <w:rPr>
          <w:rFonts w:ascii="Times New Roman" w:cs="Times New Roman" w:eastAsia="Times New Roman" w:hAnsi="Times New Roman"/>
          <w:sz w:val="24"/>
          <w:szCs w:val="24"/>
          <w:highlight w:val="white"/>
          <w:rtl w:val="0"/>
        </w:rPr>
        <w:t xml:space="preserve">https://www.sfu.ca/~palys/TheRedmansAppealForJustice1923.pdf</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2A">
      <w:pPr>
        <w:widowControl w:val="0"/>
        <w:spacing w:after="0" w:line="480" w:lineRule="auto"/>
        <w:ind w:left="720" w:hanging="720"/>
        <w:rPr>
          <w:rFonts w:ascii="Times New Roman" w:cs="Times New Roman" w:eastAsia="Times New Roman" w:hAnsi="Times New Roman"/>
          <w:color w:val="467886"/>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Smith, D. B. (2005). DESKAHEH (Levi General). In </w:t>
      </w:r>
      <w:r w:rsidDel="00000000" w:rsidR="00000000" w:rsidRPr="00000000">
        <w:rPr>
          <w:rFonts w:ascii="Times New Roman" w:cs="Times New Roman" w:eastAsia="Times New Roman" w:hAnsi="Times New Roman"/>
          <w:i w:val="1"/>
          <w:iCs w:val="1"/>
          <w:sz w:val="24"/>
          <w:szCs w:val="24"/>
          <w:highlight w:val="white"/>
          <w:rtl w:val="0"/>
        </w:rPr>
        <w:t xml:space="preserve">Dictionary of Canadian Biography</w:t>
      </w:r>
      <w:r w:rsidDel="00000000" w:rsidR="00000000" w:rsidRPr="00000000">
        <w:rPr>
          <w:rFonts w:ascii="Times New Roman" w:cs="Times New Roman" w:eastAsia="Times New Roman" w:hAnsi="Times New Roman"/>
          <w:sz w:val="24"/>
          <w:szCs w:val="24"/>
          <w:highlight w:val="white"/>
          <w:rtl w:val="0"/>
        </w:rPr>
        <w:t xml:space="preserve"> (Vol. 15). University of Toronto/Université Laval. </w:t>
      </w:r>
      <w:r w:rsidDel="00000000" w:rsidR="00000000" w:rsidRPr="00000000">
        <w:rPr>
          <w:rFonts w:ascii="Times New Roman" w:cs="Times New Roman" w:eastAsia="Times New Roman" w:hAnsi="Times New Roman"/>
          <w:sz w:val="24"/>
          <w:szCs w:val="24"/>
          <w:highlight w:val="white"/>
          <w:rtl w:val="0"/>
        </w:rPr>
        <w:t xml:space="preserve">http://www.biographi.ca/en/bio/deskaheh_15E.html</w:t>
      </w:r>
      <w:r w:rsidDel="00000000" w:rsidR="00000000" w:rsidRPr="00000000">
        <w:rPr>
          <w:rtl w:val="0"/>
        </w:rPr>
      </w:r>
    </w:p>
    <w:p w:rsidR="00000000" w:rsidDel="00000000" w:rsidP="00000000" w:rsidRDefault="00000000" w:rsidRPr="00000000" w14:paraId="0000002B">
      <w:pPr>
        <w:widowControl w:val="0"/>
        <w:spacing w:after="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spacing w:after="0" w:line="480" w:lineRule="auto"/>
        <w:ind w:left="0" w:right="255" w:firstLine="0"/>
        <w:rPr>
          <w:rFonts w:ascii="Times New Roman" w:cs="Times New Roman" w:eastAsia="Times New Roman" w:hAnsi="Times New Roman"/>
          <w:sz w:val="24"/>
          <w:szCs w:val="24"/>
        </w:rPr>
      </w:pPr>
      <w:r w:rsidDel="00000000" w:rsidR="00000000" w:rsidRPr="00000000">
        <w:rPr>
          <w:rtl w:val="0"/>
        </w:rPr>
      </w:r>
    </w:p>
    <w:sectPr>
      <w:headerReference r:id="rId9" w:type="default"/>
      <w:footerReference r:id="rId10"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rimson Tex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Crimson Text" w:cs="Crimson Text" w:eastAsia="Crimson Text" w:hAnsi="Crimson Text"/>
        <w:color w:val="7a0808"/>
        <w:sz w:val="24"/>
        <w:szCs w:val="24"/>
      </w:rPr>
    </w:pPr>
    <w:r w:rsidDel="00000000" w:rsidR="00000000" w:rsidRPr="00000000">
      <w:rPr>
        <w:rFonts w:ascii="Crimson Text" w:cs="Crimson Text" w:eastAsia="Crimson Text" w:hAnsi="Crimson Text"/>
        <w:color w:val="7a0808"/>
        <w:sz w:val="24"/>
        <w:szCs w:val="24"/>
        <w:rtl w:val="0"/>
      </w:rPr>
      <w:t xml:space="preserve">| </w:t>
    </w:r>
    <w:r w:rsidDel="00000000" w:rsidR="00000000" w:rsidRPr="00000000">
      <w:rPr>
        <w:rFonts w:ascii="Crimson Text" w:cs="Crimson Text" w:eastAsia="Crimson Text" w:hAnsi="Crimson Text"/>
        <w:color w:val="7a0808"/>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0">
      <w:pPr>
        <w:spacing w:after="0" w:line="240" w:lineRule="auto"/>
        <w:rPr>
          <w:rFonts w:ascii="Times New Roman" w:cs="Times New Roman" w:eastAsia="Times New Roman" w:hAnsi="Times New Roman"/>
          <w:color w:val="7a0808"/>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7a0808"/>
          <w:sz w:val="20"/>
          <w:szCs w:val="20"/>
          <w:rtl w:val="0"/>
        </w:rPr>
        <w:t xml:space="preserve"> Les Six Nations iroquoises demandent donc d’être invitées à accepter les obligations de l’adhésion à la Société des Nations aux fins de ce différend (traduction libre).</w:t>
      </w:r>
    </w:p>
  </w:footnote>
  <w:footnote w:id="1">
    <w:p w:rsidR="00000000" w:rsidDel="00000000" w:rsidP="00000000" w:rsidRDefault="00000000" w:rsidRPr="00000000" w14:paraId="00000031">
      <w:pPr>
        <w:spacing w:after="0" w:line="240" w:lineRule="auto"/>
        <w:rPr>
          <w:color w:val="7a0808"/>
          <w:sz w:val="20"/>
          <w:szCs w:val="20"/>
        </w:rPr>
      </w:pPr>
      <w:r w:rsidDel="00000000" w:rsidR="00000000" w:rsidRPr="00000000">
        <w:rPr>
          <w:rStyle w:val="FootnoteReference"/>
          <w:vertAlign w:val="superscript"/>
        </w:rPr>
        <w:footnoteRef/>
      </w:r>
      <w:r w:rsidDel="00000000" w:rsidR="00000000" w:rsidRPr="00000000">
        <w:rPr>
          <w:color w:val="7a0808"/>
          <w:sz w:val="20"/>
          <w:szCs w:val="20"/>
          <w:rtl w:val="0"/>
        </w:rPr>
        <w:t xml:space="preserve"> </w:t>
      </w:r>
      <w:r w:rsidDel="00000000" w:rsidR="00000000" w:rsidRPr="00000000">
        <w:rPr>
          <w:rFonts w:ascii="Times New Roman" w:cs="Times New Roman" w:eastAsia="Times New Roman" w:hAnsi="Times New Roman"/>
          <w:color w:val="7a0808"/>
          <w:sz w:val="20"/>
          <w:szCs w:val="20"/>
          <w:rtl w:val="0"/>
        </w:rPr>
        <w:t xml:space="preserve">Le gouvernement impérial a refusé d’empêcher les agressions continues contre les Six Nations pratiquées par le Dominion du Canada (traduction libre).</w:t>
      </w:r>
      <w:r w:rsidDel="00000000" w:rsidR="00000000" w:rsidRPr="00000000">
        <w:rPr>
          <w:rtl w:val="0"/>
        </w:rPr>
      </w:r>
    </w:p>
  </w:footnote>
  <w:footnote w:id="2">
    <w:p w:rsidR="00000000" w:rsidDel="00000000" w:rsidP="00000000" w:rsidRDefault="00000000" w:rsidRPr="00000000" w14:paraId="00000032">
      <w:pPr>
        <w:spacing w:after="0" w:line="240" w:lineRule="auto"/>
        <w:rPr>
          <w:color w:val="7a0808"/>
          <w:sz w:val="20"/>
          <w:szCs w:val="20"/>
        </w:rPr>
      </w:pPr>
      <w:r w:rsidDel="00000000" w:rsidR="00000000" w:rsidRPr="00000000">
        <w:rPr>
          <w:rStyle w:val="FootnoteReference"/>
          <w:vertAlign w:val="superscript"/>
        </w:rPr>
        <w:footnoteRef/>
      </w:r>
      <w:r w:rsidDel="00000000" w:rsidR="00000000" w:rsidRPr="00000000">
        <w:rPr>
          <w:color w:val="7a0808"/>
          <w:sz w:val="20"/>
          <w:szCs w:val="20"/>
          <w:rtl w:val="0"/>
        </w:rPr>
        <w:t xml:space="preserve"> </w:t>
      </w:r>
      <w:r w:rsidDel="00000000" w:rsidR="00000000" w:rsidRPr="00000000">
        <w:rPr>
          <w:rFonts w:ascii="Times New Roman" w:cs="Times New Roman" w:eastAsia="Times New Roman" w:hAnsi="Times New Roman"/>
          <w:color w:val="7a0808"/>
          <w:sz w:val="20"/>
          <w:szCs w:val="20"/>
          <w:rtl w:val="0"/>
        </w:rPr>
        <w:t xml:space="preserve">Les Six Nations invoquent en ce moment l’action de la Société des Nations pour obtenir : […] (5) La liberté de transit pour les Six Nations sur le territoire canadien (traduction libre).</w:t>
      </w:r>
      <w:r w:rsidDel="00000000" w:rsidR="00000000" w:rsidRPr="00000000">
        <w:rPr>
          <w:rtl w:val="0"/>
        </w:rPr>
      </w:r>
    </w:p>
  </w:footnote>
  <w:footnote w:id="3">
    <w:p w:rsidR="00000000" w:rsidDel="00000000" w:rsidP="00000000" w:rsidRDefault="00000000" w:rsidRPr="00000000" w14:paraId="00000033">
      <w:pPr>
        <w:spacing w:after="0" w:line="240" w:lineRule="auto"/>
        <w:rPr>
          <w:color w:val="7a0808"/>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7a0808"/>
          <w:sz w:val="20"/>
          <w:szCs w:val="20"/>
          <w:rtl w:val="0"/>
        </w:rPr>
        <w:t xml:space="preserve">D’importantes sommes d’argent des Six Nations ont été […] gaspillées sans le consentement des Six Nations (traduction libre).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rimson Text" w:cs="Crimson Text" w:eastAsia="Crimson Text" w:hAnsi="Crimson Text"/>
        <w:color w:val="7a0808"/>
      </w:rPr>
    </w:pPr>
    <w:r w:rsidDel="00000000" w:rsidR="00000000" w:rsidRPr="00000000">
      <w:rPr>
        <w:rFonts w:ascii="Crimson Text" w:cs="Crimson Text" w:eastAsia="Crimson Text" w:hAnsi="Crimson Text"/>
        <w:color w:val="7a0808"/>
        <w:rtl w:val="0"/>
      </w:rPr>
      <w:t xml:space="preserve">Gadfly Undergraduate Journal of Political Science | 2026</w:t>
      <w:tab/>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rimson Text" w:cs="Crimson Text" w:eastAsia="Crimson Text" w:hAnsi="Crimson Text"/>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1"/>
        <w:szCs w:val="21"/>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rimson Text" w:cs="Crimson Text" w:eastAsia="Crimson Text" w:hAnsi="Crimson Text"/>
      <w:b w:val="1"/>
      <w:bCs w:val="1"/>
      <w:color w:val="7a0808"/>
      <w:sz w:val="32"/>
      <w:szCs w:val="32"/>
    </w:rPr>
  </w:style>
  <w:style w:type="paragraph" w:styleId="Heading2">
    <w:name w:val="heading 2"/>
    <w:basedOn w:val="Normal"/>
    <w:next w:val="Normal"/>
    <w:pPr>
      <w:keepNext w:val="1"/>
      <w:keepLines w:val="1"/>
      <w:spacing w:before="40" w:lineRule="auto"/>
    </w:pPr>
    <w:rPr>
      <w:rFonts w:ascii="Crimson Text" w:cs="Crimson Text" w:eastAsia="Crimson Text" w:hAnsi="Crimson Text"/>
      <w:b w:val="1"/>
      <w:bCs w:val="1"/>
      <w:color w:val="a0504f"/>
      <w:sz w:val="28"/>
      <w:szCs w:val="28"/>
    </w:rPr>
  </w:style>
  <w:style w:type="paragraph" w:styleId="Heading3">
    <w:name w:val="heading 3"/>
    <w:basedOn w:val="Normal"/>
    <w:next w:val="Normal"/>
    <w:pPr>
      <w:keepNext w:val="1"/>
      <w:keepLines w:val="1"/>
      <w:spacing w:before="40" w:lineRule="auto"/>
    </w:pPr>
    <w:rPr>
      <w:rFonts w:ascii="Crimson Text" w:cs="Crimson Text" w:eastAsia="Crimson Text" w:hAnsi="Crimson Text"/>
      <w:b w:val="1"/>
      <w:bCs w:val="1"/>
      <w:color w:val="7284a8"/>
      <w:sz w:val="28"/>
      <w:szCs w:val="28"/>
    </w:rPr>
  </w:style>
  <w:style w:type="paragraph" w:styleId="Heading4">
    <w:name w:val="heading 4"/>
    <w:basedOn w:val="Normal"/>
    <w:next w:val="Normal"/>
    <w:pPr>
      <w:keepNext w:val="1"/>
      <w:keepLines w:val="1"/>
      <w:spacing w:before="40" w:lineRule="auto"/>
    </w:pPr>
    <w:rPr>
      <w:rFonts w:ascii="Crimson Text" w:cs="Crimson Text" w:eastAsia="Crimson Text" w:hAnsi="Crimson Text"/>
      <w:i w:val="1"/>
      <w:iCs w:val="1"/>
      <w:color w:val="5b0505"/>
      <w:sz w:val="22"/>
      <w:szCs w:val="22"/>
    </w:rPr>
  </w:style>
  <w:style w:type="paragraph" w:styleId="Heading5">
    <w:name w:val="heading 5"/>
    <w:basedOn w:val="Normal"/>
    <w:next w:val="Normal"/>
    <w:pPr>
      <w:keepNext w:val="1"/>
      <w:keepLines w:val="1"/>
      <w:spacing w:before="40" w:lineRule="auto"/>
    </w:pPr>
    <w:rPr>
      <w:rFonts w:ascii="Crimson Text" w:cs="Crimson Text" w:eastAsia="Crimson Text" w:hAnsi="Crimson Text"/>
      <w:color w:val="5b0505"/>
      <w:sz w:val="22"/>
      <w:szCs w:val="22"/>
    </w:rPr>
  </w:style>
  <w:style w:type="paragraph" w:styleId="Heading6">
    <w:name w:val="heading 6"/>
    <w:basedOn w:val="Normal"/>
    <w:next w:val="Normal"/>
    <w:pPr>
      <w:keepNext w:val="1"/>
      <w:keepLines w:val="1"/>
      <w:spacing w:before="40" w:lineRule="auto"/>
    </w:pPr>
    <w:rPr>
      <w:rFonts w:ascii="Crimson Text" w:cs="Crimson Text" w:eastAsia="Crimson Text" w:hAnsi="Crimson Text"/>
      <w:sz w:val="22"/>
      <w:szCs w:val="22"/>
    </w:rPr>
  </w:style>
  <w:style w:type="paragraph" w:styleId="Title">
    <w:name w:val="Title"/>
    <w:basedOn w:val="Normal"/>
    <w:next w:val="Normal"/>
    <w:pPr>
      <w:jc w:val="center"/>
    </w:pPr>
    <w:rPr>
      <w:rFonts w:ascii="Crimson Text" w:cs="Crimson Text" w:eastAsia="Crimson Text" w:hAnsi="Crimson Text"/>
      <w:b w:val="1"/>
      <w:bCs w:val="1"/>
      <w:color w:val="7a0808"/>
      <w:sz w:val="56"/>
      <w:szCs w:val="56"/>
    </w:rPr>
  </w:style>
  <w:style w:type="paragraph" w:styleId="Subtitle">
    <w:name w:val="Subtitle"/>
    <w:basedOn w:val="Normal"/>
    <w:next w:val="Normal"/>
    <w:pPr>
      <w:spacing w:after="160" w:lineRule="auto"/>
      <w:jc w:val="center"/>
    </w:pPr>
    <w:rPr>
      <w:i w:val="1"/>
      <w:iCs w:val="1"/>
      <w:color w:val="a0504f"/>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rimsonText-regular.ttf"/><Relationship Id="rId2" Type="http://schemas.openxmlformats.org/officeDocument/2006/relationships/font" Target="fonts/CrimsonText-bold.ttf"/><Relationship Id="rId3" Type="http://schemas.openxmlformats.org/officeDocument/2006/relationships/font" Target="fonts/CrimsonText-italic.ttf"/><Relationship Id="rId4" Type="http://schemas.openxmlformats.org/officeDocument/2006/relationships/font" Target="fonts/CrimsonTex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