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51D12" w14:textId="77777777" w:rsidR="00AF6963" w:rsidRDefault="00000000">
      <w:pPr>
        <w:pBdr>
          <w:top w:val="nil"/>
          <w:left w:val="nil"/>
          <w:bottom w:val="nil"/>
          <w:right w:val="nil"/>
          <w:between w:val="nil"/>
        </w:pBdr>
        <w:spacing w:after="0" w:line="240" w:lineRule="auto"/>
        <w:rPr>
          <w:rFonts w:ascii="Crimson Text" w:eastAsia="Crimson Text" w:hAnsi="Crimson Text" w:cs="Crimson Text"/>
          <w:i/>
          <w:iCs/>
          <w:color w:val="5B0505"/>
          <w:sz w:val="22"/>
          <w:szCs w:val="22"/>
        </w:rPr>
      </w:pPr>
      <w:r>
        <w:rPr>
          <w:rFonts w:ascii="Crimson Text" w:eastAsia="Crimson Text" w:hAnsi="Crimson Text" w:cs="Crimson Text"/>
          <w:i/>
          <w:iCs/>
          <w:color w:val="5B0505"/>
          <w:sz w:val="22"/>
          <w:szCs w:val="22"/>
        </w:rPr>
        <w:t>Governance and Global Power</w:t>
      </w:r>
    </w:p>
    <w:p w14:paraId="63B90EDC" w14:textId="77777777" w:rsidR="00AF6963" w:rsidRDefault="00000000">
      <w:pPr>
        <w:pStyle w:val="Title"/>
        <w:spacing w:line="240" w:lineRule="auto"/>
        <w:jc w:val="left"/>
        <w:rPr>
          <w:b w:val="0"/>
          <w:bCs w:val="0"/>
          <w:i/>
          <w:iCs/>
          <w:sz w:val="40"/>
          <w:szCs w:val="40"/>
        </w:rPr>
      </w:pPr>
      <w:r>
        <w:rPr>
          <w:b w:val="0"/>
          <w:bCs w:val="0"/>
        </w:rPr>
        <w:t xml:space="preserve">| </w:t>
      </w:r>
      <w:r>
        <w:rPr>
          <w:b w:val="0"/>
          <w:bCs w:val="0"/>
          <w:sz w:val="40"/>
          <w:szCs w:val="40"/>
        </w:rPr>
        <w:t>Power, Proximity, and Priorities: Unpacking China’s Belt and Road Investments</w:t>
      </w:r>
    </w:p>
    <w:p w14:paraId="4D7BE729" w14:textId="77777777" w:rsidR="00AF6963" w:rsidRDefault="00000000">
      <w:pPr>
        <w:pStyle w:val="Subtitle"/>
        <w:spacing w:line="240" w:lineRule="auto"/>
        <w:jc w:val="left"/>
      </w:pPr>
      <w:r>
        <w:rPr>
          <w:rFonts w:ascii="Crimson Text" w:eastAsia="Crimson Text" w:hAnsi="Crimson Text" w:cs="Crimson Text"/>
          <w:sz w:val="28"/>
          <w:szCs w:val="28"/>
        </w:rPr>
        <w:t>Ideja Efendija</w:t>
      </w:r>
      <w:r>
        <w:rPr>
          <w:noProof/>
        </w:rPr>
        <mc:AlternateContent>
          <mc:Choice Requires="wpg">
            <w:drawing>
              <wp:anchor distT="0" distB="0" distL="114300" distR="114300" simplePos="0" relativeHeight="251658240" behindDoc="0" locked="0" layoutInCell="1" hidden="0" allowOverlap="1" wp14:anchorId="28F336B8" wp14:editId="1586FFF9">
                <wp:simplePos x="0" y="0"/>
                <wp:positionH relativeFrom="column">
                  <wp:posOffset>2038350</wp:posOffset>
                </wp:positionH>
                <wp:positionV relativeFrom="paragraph">
                  <wp:posOffset>2556510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7A0808"/>
                          </a:solidFill>
                          <a:prstDash val="solid"/>
                          <a:round/>
                          <a:headEnd type="none" w="sm" len="sm"/>
                          <a:tailEnd type="none" w="sm" len="sm"/>
                        </a:ln>
                        <a:effectLst>
                          <a:outerShdw blurRad="40000" dist="20000" dir="5400000" rotWithShape="0">
                            <a:srgbClr val="000000">
                              <a:alpha val="0"/>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2038350</wp:posOffset>
                </wp:positionH>
                <wp:positionV relativeFrom="paragraph">
                  <wp:posOffset>2556510</wp:posOffset>
                </wp:positionV>
                <wp:extent cx="12700" cy="12700"/>
                <wp:effectExtent b="0" l="0" r="0" t="0"/>
                <wp:wrapNone/>
                <wp:docPr id="1"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p>
    <w:p w14:paraId="255FF68C" w14:textId="77777777" w:rsidR="00AF6963" w:rsidRDefault="00000000">
      <w:pPr>
        <w:pStyle w:val="Subtitle"/>
        <w:spacing w:line="240" w:lineRule="auto"/>
        <w:jc w:val="left"/>
        <w:rPr>
          <w:rFonts w:ascii="Times New Roman" w:eastAsia="Times New Roman" w:hAnsi="Times New Roman" w:cs="Times New Roman"/>
          <w:color w:val="000000"/>
          <w:sz w:val="22"/>
          <w:szCs w:val="22"/>
        </w:rPr>
      </w:pPr>
      <w:bookmarkStart w:id="0" w:name="_s5b6hkpm2cvz" w:colFirst="0" w:colLast="0"/>
      <w:bookmarkEnd w:id="0"/>
      <w:r>
        <w:rPr>
          <w:rFonts w:ascii="Times New Roman" w:eastAsia="Times New Roman" w:hAnsi="Times New Roman" w:cs="Times New Roman"/>
          <w:b/>
          <w:bCs/>
          <w:i w:val="0"/>
          <w:iCs w:val="0"/>
          <w:sz w:val="22"/>
          <w:szCs w:val="22"/>
        </w:rPr>
        <w:t xml:space="preserve">Keywords: </w:t>
      </w:r>
      <w:r>
        <w:rPr>
          <w:rFonts w:ascii="Times New Roman" w:eastAsia="Times New Roman" w:hAnsi="Times New Roman" w:cs="Times New Roman"/>
          <w:color w:val="000000"/>
          <w:sz w:val="22"/>
          <w:szCs w:val="22"/>
        </w:rPr>
        <w:t>Belt and Road Initiative, Chinese foreign policy, East Asia, infrastructure diplomacy, geopolitical strategy, international development</w:t>
      </w:r>
    </w:p>
    <w:p w14:paraId="6D822CDA" w14:textId="77777777" w:rsidR="00AF6963" w:rsidRDefault="00000000">
      <w:pPr>
        <w:pStyle w:val="Subtitle"/>
        <w:spacing w:after="0" w:line="360" w:lineRule="auto"/>
        <w:jc w:val="both"/>
        <w:rPr>
          <w:color w:val="000000"/>
          <w:sz w:val="21"/>
          <w:szCs w:val="21"/>
        </w:rPr>
      </w:pPr>
      <w:r>
        <w:rPr>
          <w:color w:val="000000"/>
          <w:sz w:val="21"/>
          <w:szCs w:val="21"/>
        </w:rPr>
        <w:br/>
      </w:r>
      <w:r>
        <w:rPr>
          <w:noProof/>
        </w:rPr>
        <w:drawing>
          <wp:anchor distT="114300" distB="114300" distL="114300" distR="114300" simplePos="0" relativeHeight="251659264" behindDoc="0" locked="0" layoutInCell="1" hidden="0" allowOverlap="1" wp14:anchorId="77169FBD" wp14:editId="39FAFCE9">
            <wp:simplePos x="0" y="0"/>
            <wp:positionH relativeFrom="column">
              <wp:posOffset>-50782</wp:posOffset>
            </wp:positionH>
            <wp:positionV relativeFrom="paragraph">
              <wp:posOffset>381000</wp:posOffset>
            </wp:positionV>
            <wp:extent cx="5994383" cy="4034681"/>
            <wp:effectExtent l="0" t="0" r="0" b="0"/>
            <wp:wrapSquare wrapText="bothSides" distT="114300" distB="114300" distL="114300" distR="114300"/>
            <wp:docPr id="3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8"/>
                    <a:srcRect/>
                    <a:stretch>
                      <a:fillRect/>
                    </a:stretch>
                  </pic:blipFill>
                  <pic:spPr>
                    <a:xfrm>
                      <a:off x="0" y="0"/>
                      <a:ext cx="5994383" cy="4034681"/>
                    </a:xfrm>
                    <a:prstGeom prst="rect">
                      <a:avLst/>
                    </a:prstGeom>
                    <a:ln/>
                  </pic:spPr>
                </pic:pic>
              </a:graphicData>
            </a:graphic>
          </wp:anchor>
        </w:drawing>
      </w:r>
    </w:p>
    <w:p w14:paraId="35FF98CA" w14:textId="77777777" w:rsidR="00AF6963" w:rsidRDefault="00AF6963"/>
    <w:p w14:paraId="29953EF2" w14:textId="77777777" w:rsidR="00AF6963" w:rsidRDefault="00AF6963"/>
    <w:p w14:paraId="5D9CA147" w14:textId="77777777" w:rsidR="00AF6963" w:rsidRDefault="00AF6963"/>
    <w:p w14:paraId="5CE4190D" w14:textId="77777777" w:rsidR="00AF6963" w:rsidRDefault="00AF6963"/>
    <w:p w14:paraId="35A1F605" w14:textId="77777777" w:rsidR="00AF6963" w:rsidRDefault="00AF6963"/>
    <w:p w14:paraId="2167DFAE" w14:textId="77777777" w:rsidR="00AF6963" w:rsidRDefault="00000000">
      <w:pPr>
        <w:pStyle w:val="Subtitle"/>
        <w:spacing w:after="0" w:line="360" w:lineRule="auto"/>
        <w:jc w:val="both"/>
        <w:rPr>
          <w:rFonts w:ascii="Crimson Text" w:eastAsia="Crimson Text" w:hAnsi="Crimson Text" w:cs="Crimson Text"/>
          <w:b/>
          <w:bCs/>
          <w:color w:val="000000"/>
          <w:sz w:val="21"/>
          <w:szCs w:val="21"/>
        </w:rPr>
      </w:pPr>
      <w:r>
        <w:rPr>
          <w:rFonts w:ascii="Crimson Text" w:eastAsia="Crimson Text" w:hAnsi="Crimson Text" w:cs="Crimson Text"/>
          <w:b/>
          <w:bCs/>
          <w:sz w:val="40"/>
          <w:szCs w:val="40"/>
        </w:rPr>
        <w:lastRenderedPageBreak/>
        <w:t>Introduction</w:t>
      </w:r>
      <w:r>
        <w:rPr>
          <w:rFonts w:ascii="Crimson Text" w:eastAsia="Crimson Text" w:hAnsi="Crimson Text" w:cs="Crimson Text"/>
          <w:b/>
          <w:bCs/>
          <w:sz w:val="40"/>
          <w:szCs w:val="40"/>
        </w:rPr>
        <w:tab/>
      </w:r>
    </w:p>
    <w:p w14:paraId="28FCE317" w14:textId="77777777" w:rsidR="00AF6963" w:rsidRDefault="00000000">
      <w:pPr>
        <w:pStyle w:val="Subtitle"/>
        <w:spacing w:after="0" w:line="480" w:lineRule="auto"/>
        <w:jc w:val="both"/>
        <w:rPr>
          <w:vertAlign w:val="superscript"/>
        </w:rPr>
      </w:pPr>
      <w:r>
        <w:rPr>
          <w:rFonts w:ascii="Crimson Text" w:eastAsia="Crimson Text" w:hAnsi="Crimson Text" w:cs="Crimson Text"/>
          <w:b/>
          <w:bCs/>
          <w:color w:val="000000"/>
          <w:sz w:val="21"/>
          <w:szCs w:val="21"/>
        </w:rPr>
        <w:tab/>
      </w:r>
      <w:r>
        <w:rPr>
          <w:rFonts w:ascii="Times New Roman" w:eastAsia="Times New Roman" w:hAnsi="Times New Roman" w:cs="Times New Roman"/>
          <w:i w:val="0"/>
          <w:iCs w:val="0"/>
          <w:color w:val="000000"/>
        </w:rPr>
        <w:t>The Belt and Road Initiative (BRI), announced by Xi Jinping in 2013 during his visits to Kazakhstan and Indonesia, is a vast collection of infrastructure and development projects spanning from East Asia to Europe</w:t>
      </w:r>
      <w:r>
        <w:rPr>
          <w:rFonts w:ascii="Times New Roman" w:eastAsia="Times New Roman" w:hAnsi="Times New Roman" w:cs="Times New Roman"/>
          <w:i w:val="0"/>
          <w:iCs w:val="0"/>
          <w:color w:val="000000"/>
          <w:vertAlign w:val="superscript"/>
        </w:rPr>
        <w:footnoteReference w:id="1"/>
      </w:r>
      <w:r>
        <w:rPr>
          <w:rFonts w:ascii="Times New Roman" w:eastAsia="Times New Roman" w:hAnsi="Times New Roman" w:cs="Times New Roman"/>
          <w:i w:val="0"/>
          <w:iCs w:val="0"/>
          <w:color w:val="000000"/>
        </w:rPr>
        <w:t>. The initiative consists of two primary components: the ‘Silk Road Economic Belt’ and the ‘Maritime Silk Road’. The Silk Road Economic Belt comprises of a network of land-based infrastructure projects that extends from China through Central Asia to Europe</w:t>
      </w:r>
      <w:r>
        <w:rPr>
          <w:rFonts w:ascii="Times New Roman" w:eastAsia="Times New Roman" w:hAnsi="Times New Roman" w:cs="Times New Roman"/>
          <w:i w:val="0"/>
          <w:iCs w:val="0"/>
          <w:color w:val="000000"/>
          <w:vertAlign w:val="superscript"/>
        </w:rPr>
        <w:footnoteReference w:id="2"/>
      </w:r>
      <w:r>
        <w:rPr>
          <w:rFonts w:ascii="Times New Roman" w:eastAsia="Times New Roman" w:hAnsi="Times New Roman" w:cs="Times New Roman"/>
          <w:i w:val="0"/>
          <w:iCs w:val="0"/>
          <w:color w:val="000000"/>
        </w:rPr>
        <w:t xml:space="preserve">. According to </w:t>
      </w:r>
      <w:r>
        <w:rPr>
          <w:rFonts w:ascii="Times New Roman" w:eastAsia="Times New Roman" w:hAnsi="Times New Roman" w:cs="Times New Roman"/>
          <w:color w:val="000000"/>
        </w:rPr>
        <w:t>The State Council Information Office of the People's Republic of China</w:t>
      </w:r>
      <w:r>
        <w:rPr>
          <w:rFonts w:ascii="Times New Roman" w:eastAsia="Times New Roman" w:hAnsi="Times New Roman" w:cs="Times New Roman"/>
          <w:i w:val="0"/>
          <w:iCs w:val="0"/>
          <w:color w:val="000000"/>
        </w:rPr>
        <w:t xml:space="preserve"> website, this portion of the BRI consists of the construction of six international economic corridors: China-Mongolia-Russia Economic Corridor (CMREC), New Eurasian Land Bridge (NELB), China-Central Asia-West Asia Economic Corridor (CCWAEC), China-Indochina Peninsula Economic Corridor (CICPEC), China-Pakistan Economic Corridor (CPEC), and the Bangladesh-China-India-Myanmar Economic Corridor (BCIMEC)</w:t>
      </w:r>
      <w:r>
        <w:rPr>
          <w:rFonts w:ascii="Times New Roman" w:eastAsia="Times New Roman" w:hAnsi="Times New Roman" w:cs="Times New Roman"/>
          <w:i w:val="0"/>
          <w:iCs w:val="0"/>
          <w:color w:val="000000"/>
          <w:vertAlign w:val="superscript"/>
        </w:rPr>
        <w:footnoteReference w:id="3"/>
      </w:r>
      <w:r>
        <w:rPr>
          <w:rFonts w:ascii="Times New Roman" w:eastAsia="Times New Roman" w:hAnsi="Times New Roman" w:cs="Times New Roman"/>
          <w:i w:val="0"/>
          <w:iCs w:val="0"/>
          <w:color w:val="000000"/>
        </w:rPr>
        <w:t>.</w:t>
      </w:r>
    </w:p>
    <w:p w14:paraId="08A0AAC6" w14:textId="77777777" w:rsidR="00AF6963" w:rsidRDefault="00000000">
      <w:pPr>
        <w:pStyle w:val="Subtitle"/>
        <w:spacing w:line="479" w:lineRule="auto"/>
        <w:ind w:firstLine="720"/>
        <w:jc w:val="both"/>
        <w:rPr>
          <w:rFonts w:ascii="Times New Roman" w:eastAsia="Times New Roman" w:hAnsi="Times New Roman" w:cs="Times New Roman"/>
          <w:i w:val="0"/>
          <w:iCs w:val="0"/>
          <w:color w:val="000000"/>
        </w:rPr>
      </w:pPr>
      <w:r>
        <w:rPr>
          <w:rFonts w:ascii="Times New Roman" w:eastAsia="Times New Roman" w:hAnsi="Times New Roman" w:cs="Times New Roman"/>
          <w:i w:val="0"/>
          <w:iCs w:val="0"/>
          <w:color w:val="000000"/>
        </w:rPr>
        <w:t>The Maritime Silk Road (MSR) includes several port and coastal infrastructure projects in South-East Asia, East Africa, and the Mediterranean.</w:t>
      </w:r>
      <w:r>
        <w:rPr>
          <w:rFonts w:ascii="Times New Roman" w:eastAsia="Times New Roman" w:hAnsi="Times New Roman" w:cs="Times New Roman"/>
          <w:i w:val="0"/>
          <w:iCs w:val="0"/>
          <w:color w:val="000000"/>
          <w:vertAlign w:val="superscript"/>
        </w:rPr>
        <w:footnoteReference w:id="4"/>
      </w:r>
      <w:r>
        <w:rPr>
          <w:rFonts w:ascii="Times New Roman" w:eastAsia="Times New Roman" w:hAnsi="Times New Roman" w:cs="Times New Roman"/>
          <w:i w:val="0"/>
          <w:iCs w:val="0"/>
          <w:color w:val="000000"/>
        </w:rPr>
        <w:t xml:space="preserve"> However, while that was the initial plan, the BRI has expanded to include countries beyond its initial scope with numerous Latin American countries joining the BRI in recent years. As of July 2022, 147 countries were participating in the entire [A1] BRI, according to the Green Finance &amp; Development Center.</w:t>
      </w:r>
      <w:r>
        <w:rPr>
          <w:rFonts w:ascii="Times New Roman" w:eastAsia="Times New Roman" w:hAnsi="Times New Roman" w:cs="Times New Roman"/>
          <w:i w:val="0"/>
          <w:iCs w:val="0"/>
          <w:color w:val="000000"/>
          <w:vertAlign w:val="superscript"/>
        </w:rPr>
        <w:footnoteReference w:id="5"/>
      </w:r>
    </w:p>
    <w:p w14:paraId="16C41100" w14:textId="77777777" w:rsidR="00AF6963" w:rsidRDefault="00AF6963">
      <w:pPr>
        <w:rPr>
          <w:vertAlign w:val="superscript"/>
        </w:rPr>
      </w:pPr>
    </w:p>
    <w:p w14:paraId="7ACCE0C6" w14:textId="77777777" w:rsidR="00AF6963" w:rsidRDefault="00000000">
      <w:pPr>
        <w:pStyle w:val="Subtitle"/>
        <w:spacing w:after="0" w:line="480" w:lineRule="auto"/>
        <w:ind w:firstLine="720"/>
        <w:jc w:val="both"/>
        <w:rPr>
          <w:rFonts w:ascii="Times New Roman" w:eastAsia="Times New Roman" w:hAnsi="Times New Roman" w:cs="Times New Roman"/>
          <w:i w:val="0"/>
          <w:iCs w:val="0"/>
          <w:color w:val="000000"/>
        </w:rPr>
      </w:pPr>
      <w:r>
        <w:rPr>
          <w:rFonts w:ascii="Times New Roman" w:eastAsia="Times New Roman" w:hAnsi="Times New Roman" w:cs="Times New Roman"/>
          <w:i w:val="0"/>
          <w:iCs w:val="0"/>
          <w:color w:val="000000"/>
        </w:rPr>
        <w:t>With the BRI, Beijing aimed to revitalize the sluggish Chinese economy by developing new markets for Chinese goods.</w:t>
      </w:r>
      <w:r>
        <w:rPr>
          <w:rFonts w:ascii="Times New Roman" w:eastAsia="Times New Roman" w:hAnsi="Times New Roman" w:cs="Times New Roman"/>
          <w:i w:val="0"/>
          <w:iCs w:val="0"/>
          <w:color w:val="000000"/>
          <w:vertAlign w:val="superscript"/>
        </w:rPr>
        <w:footnoteReference w:id="6"/>
      </w:r>
      <w:r>
        <w:rPr>
          <w:rFonts w:ascii="Times New Roman" w:eastAsia="Times New Roman" w:hAnsi="Times New Roman" w:cs="Times New Roman"/>
          <w:i w:val="0"/>
          <w:iCs w:val="0"/>
          <w:color w:val="000000"/>
        </w:rPr>
        <w:t xml:space="preserve"> Furthermore, it was also meant to help offload excess industrial capacity</w:t>
      </w:r>
      <w:r>
        <w:rPr>
          <w:rFonts w:ascii="Times New Roman" w:eastAsia="Times New Roman" w:hAnsi="Times New Roman" w:cs="Times New Roman"/>
          <w:i w:val="0"/>
          <w:iCs w:val="0"/>
          <w:color w:val="000000"/>
          <w:vertAlign w:val="superscript"/>
        </w:rPr>
        <w:footnoteReference w:id="7"/>
      </w:r>
      <w:r>
        <w:rPr>
          <w:rFonts w:ascii="Times New Roman" w:eastAsia="Times New Roman" w:hAnsi="Times New Roman" w:cs="Times New Roman"/>
          <w:i w:val="0"/>
          <w:iCs w:val="0"/>
          <w:color w:val="000000"/>
        </w:rPr>
        <w:t>. On top of these domestic, pragmatic goals of the BRI, it also aims to increase economic cooperation and integration. As outlined in the BRI Action Plan, Beijing aims to revive the “Silk Road Spirit” that emphasises “peace and cooperation, openness and inclusiveness, mutual learning and mutual benefit.”</w:t>
      </w:r>
      <w:r>
        <w:rPr>
          <w:rFonts w:ascii="Times New Roman" w:eastAsia="Times New Roman" w:hAnsi="Times New Roman" w:cs="Times New Roman"/>
          <w:i w:val="0"/>
          <w:iCs w:val="0"/>
          <w:color w:val="000000"/>
          <w:vertAlign w:val="superscript"/>
        </w:rPr>
        <w:footnoteReference w:id="8"/>
      </w:r>
      <w:r>
        <w:rPr>
          <w:rFonts w:ascii="Times New Roman" w:eastAsia="Times New Roman" w:hAnsi="Times New Roman" w:cs="Times New Roman"/>
          <w:i w:val="0"/>
          <w:iCs w:val="0"/>
          <w:color w:val="000000"/>
        </w:rPr>
        <w:t xml:space="preserve"> The initiative’s key cooperation priorities include “policy coordination, facilities connectivity, unimpeded trade, financial integration, and people-to-people bond.</w:t>
      </w:r>
      <w:r>
        <w:rPr>
          <w:rFonts w:ascii="Times New Roman" w:eastAsia="Times New Roman" w:hAnsi="Times New Roman" w:cs="Times New Roman"/>
          <w:i w:val="0"/>
          <w:iCs w:val="0"/>
          <w:color w:val="000000"/>
          <w:vertAlign w:val="superscript"/>
        </w:rPr>
        <w:footnoteReference w:id="9"/>
      </w:r>
      <w:r>
        <w:rPr>
          <w:rFonts w:ascii="Times New Roman" w:eastAsia="Times New Roman" w:hAnsi="Times New Roman" w:cs="Times New Roman"/>
          <w:i w:val="0"/>
          <w:iCs w:val="0"/>
          <w:color w:val="000000"/>
        </w:rPr>
        <w:t>” The BRI has now become a centerpiece to Xi Jinping’s foreign policy and is a physical manifestation of China’s growing role on the world stage.</w:t>
      </w:r>
    </w:p>
    <w:p w14:paraId="20D7F97A" w14:textId="77777777" w:rsidR="00AF6963"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part of the initiative, Beijing coordinates with different countries on infrastructure projects they require, often through bilateral diplomatic meetings. China and the recipient country then sign a memorandum of understanding (MOU) once talks are completed.</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The projects range from highway and railroad construction to port development. It even extends to the construction of Special Economic Zones (SEZs) and energy developments.</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Once areas of infrastructure and investment are identified, Chinese State-Owned Enterprises (SOEs) will help build these projects, often employing Chinese laborers.</w:t>
      </w:r>
    </w:p>
    <w:p w14:paraId="188A863A" w14:textId="77777777" w:rsidR="00AF6963" w:rsidRDefault="00000000">
      <w:pPr>
        <w:spacing w:after="0" w:line="48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 xml:space="preserve">The implementation of BRI projects varies significantly between countries, both in scale and focus. Some nations receive extensive Chinese investment, while others receive comparatively little. This discrepancy raises an important research question: </w:t>
      </w:r>
      <w:r>
        <w:rPr>
          <w:rFonts w:ascii="Times New Roman" w:eastAsia="Times New Roman" w:hAnsi="Times New Roman" w:cs="Times New Roman"/>
          <w:b/>
          <w:bCs/>
          <w:sz w:val="24"/>
          <w:szCs w:val="24"/>
        </w:rPr>
        <w:t>Why does Chinese diplomacy surrounding the Belt and Road Initiative vary from country to country?</w:t>
      </w:r>
    </w:p>
    <w:p w14:paraId="154C2ECC"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paper seeks to explain the variation in BRI-related infrastructure and investment by comparing Chinese spending across 21 recipient countries. It will explore three hypotheses informed by both official Chinese objectives and scholarly interpretations of the BRI’s underlying motivations.</w:t>
      </w:r>
    </w:p>
    <w:p w14:paraId="26AC05C7"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Beijing has largely focused on the mutual benefit features of the BRI and has presented it as a “win-win” situation for both China and the recipient country.</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However different scholars, thinktanks, and organizations have put forward their own explanations for the BRI that go beyond the ones stated by China. This paper first reviews the academic literature on the unofficial motivations behind the BRI. Then, building on that foundation, it formulates three testable hypotheses that will be evaluated using data from a sample of 21 BRI recipient countries. By doing so, this study aims to contribute to our understanding of how BRI-related diplomacy manifests differently across countries.</w:t>
      </w:r>
    </w:p>
    <w:p w14:paraId="30666994"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BRI is important to discuss as it is a key mechanism through which China expands economic and political influence. Numerous western powers, notably the United States (US) and the European Union (EU), are concerned about the expansion of China’s influence and see it as a bid for China to alter the current geopolitical landscape. The BRI has influenced and will continue to influence the international world order. One consequence of the BRI’s rise is the emergence of </w:t>
      </w:r>
      <w:r>
        <w:rPr>
          <w:rFonts w:ascii="Times New Roman" w:eastAsia="Times New Roman" w:hAnsi="Times New Roman" w:cs="Times New Roman"/>
          <w:sz w:val="24"/>
          <w:szCs w:val="24"/>
        </w:rPr>
        <w:lastRenderedPageBreak/>
        <w:t>rival initiatives, such as the United States’ Build Back Better World Initiative. By investigating the drivers of China’s varied BRI engagement, this study enhances our understanding of a major force influencing today’s global political economy. Evidently, the BRI has influenced how foreign aid is distributed. An investigation into what informs Chinese diplomacy surrounding different BRI projects will enrich the scholarship on such a prominent project in today’s geopolitical climate.</w:t>
      </w:r>
    </w:p>
    <w:p w14:paraId="63ED14C7" w14:textId="77777777" w:rsidR="00AF6963" w:rsidRDefault="00AF6963">
      <w:pPr>
        <w:spacing w:after="0" w:line="479" w:lineRule="auto"/>
        <w:ind w:firstLine="720"/>
        <w:jc w:val="both"/>
        <w:rPr>
          <w:rFonts w:ascii="Times New Roman" w:eastAsia="Times New Roman" w:hAnsi="Times New Roman" w:cs="Times New Roman"/>
          <w:sz w:val="24"/>
          <w:szCs w:val="24"/>
        </w:rPr>
      </w:pPr>
    </w:p>
    <w:p w14:paraId="1942F11C" w14:textId="77777777" w:rsidR="00AF6963" w:rsidRDefault="00000000">
      <w:pPr>
        <w:pStyle w:val="Subtitle"/>
        <w:spacing w:after="0" w:line="360" w:lineRule="auto"/>
        <w:jc w:val="both"/>
        <w:rPr>
          <w:rFonts w:ascii="Times New Roman" w:eastAsia="Times New Roman" w:hAnsi="Times New Roman" w:cs="Times New Roman"/>
        </w:rPr>
      </w:pPr>
      <w:bookmarkStart w:id="1" w:name="_vmqeupinohw8" w:colFirst="0" w:colLast="0"/>
      <w:bookmarkEnd w:id="1"/>
      <w:r>
        <w:rPr>
          <w:rFonts w:ascii="Crimson Text" w:eastAsia="Crimson Text" w:hAnsi="Crimson Text" w:cs="Crimson Text"/>
          <w:b/>
          <w:bCs/>
          <w:sz w:val="40"/>
          <w:szCs w:val="40"/>
        </w:rPr>
        <w:t>Existing Literature</w:t>
      </w:r>
    </w:p>
    <w:p w14:paraId="38287858" w14:textId="77777777" w:rsidR="00AF6963"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specific research question has been relatively under-explored. There are no studies that compare the spending for BRI projects to explain what determines the variation of Chinese diplomacy in various BRI-recipient countries. However, there is a substantial body of literature on the motivations and strategies behind the BRI that go beyond China’s stated goals of increased economic cooperation.</w:t>
      </w:r>
    </w:p>
    <w:p w14:paraId="039D9227"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China has frequently been criticized for the BRI. One of the most prominent criticisms comes from some scholars, like Carrai, Alam and Asef, who argue that China is engaging in ‘debt-trap diplomacy’ whereby China leverage the power imbalance present between them and BRI recipient countries to issue loans that are too high to pay back to help countries build their infrastructure projects with the intention of gaining strategic concession upon failure to repay these loads.</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Carrai’s argument was largely based on the infamous Sri Lanka case in which China took control of the deep-sea Hambantota International Port in a 99-year lease after Sri Lanka failed to </w:t>
      </w:r>
      <w:r>
        <w:rPr>
          <w:rFonts w:ascii="Times New Roman" w:eastAsia="Times New Roman" w:hAnsi="Times New Roman" w:cs="Times New Roman"/>
          <w:sz w:val="24"/>
          <w:szCs w:val="24"/>
        </w:rPr>
        <w:lastRenderedPageBreak/>
        <w:t>pay their debts, leaving Sri Lanka’s government with only “residual sovereignty over that territory.</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w:t>
      </w:r>
    </w:p>
    <w:p w14:paraId="4EFC8EE6"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other scholars like Deborah Brautigam, Kevin Acker, and Yufan Huang have pushed back against this interpretation and largely discredited this stance. Their research shows that the Sri Lanka port case was not debt-trap diplomacy by explaining that Chinese banks did not seize the port from Sri Lanka and that they are willing to restructure the terms of the loans.</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Brautigam and several other scholars also debunked rumors that Kenya had staked the Mombasa Port as collateral for the Chinese loans used to build the Standard Gauge Railway (SGR). Through reconstruction of the contractual arrangements, they showed that this misunderstanding originated from Kenya’s Auditor General mislabelling the Kenya Port Authority as a “borrower, responsible for repaying the SGR loans.</w:t>
      </w:r>
      <w:r>
        <w:rPr>
          <w:rFonts w:ascii="Times New Roman" w:eastAsia="Times New Roman" w:hAnsi="Times New Roman" w:cs="Times New Roman"/>
          <w:sz w:val="24"/>
          <w:szCs w:val="24"/>
          <w:vertAlign w:val="superscript"/>
        </w:rPr>
        <w:footnoteReference w:id="16"/>
      </w:r>
    </w:p>
    <w:p w14:paraId="4A02F841"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form of pushback against the idea of “debt-trap diplomacy” comes from some Think Tanks, like Chatham house, who emphasize the role of the recipient country in shaping the BRI projects as they are built through multiple bilateral meetings.</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Additionally, they posited that China’s development financing system is “too fragmented and poorly coordinated to pursue the detailed strategic objectives they have been accused of.</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Nevertheless, the image of the BRI remains entangled with the “debt-trap diplomacy” narrative. </w:t>
      </w:r>
    </w:p>
    <w:p w14:paraId="6EFAA243"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Furthermore, some pundits from the Asia Society, Daniel R. Russel and Blake H. Berger have warned about the military strategy behind the BRI. They posit that the BRI projects, specifically the ports being built along the Maritime Silk Road may serve future military purposes, despite China’s denial of these claims.</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These ports act as “strategic strongpoints” that can increase the support provided to the People’s Liberation Army (PLA)</w:t>
      </w:r>
      <w:r>
        <w:rPr>
          <w:rFonts w:ascii="Arial" w:eastAsia="Arial" w:hAnsi="Arial" w:cs="Arial"/>
          <w:sz w:val="16"/>
          <w:szCs w:val="16"/>
        </w:rPr>
        <w:t xml:space="preserve"> </w:t>
      </w:r>
      <w:r>
        <w:rPr>
          <w:rFonts w:ascii="Times New Roman" w:eastAsia="Times New Roman" w:hAnsi="Times New Roman" w:cs="Times New Roman"/>
          <w:sz w:val="24"/>
          <w:szCs w:val="24"/>
        </w:rPr>
        <w:t>forces operating abroad.</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To supplement their position, they highlight the economic underperformance of ports in Sri Lanka and Pakistan, suggesting that the absence of profitability underscores their strategic value over their commercial one.</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Similarly, other scholars, such as John Mearsheimer, have argued similar geostrategic motivations suggesting that the BRI is part of China’s strategy to achieve East Asian dominance and US exclusion in Asia by consolidating their position in the region.</w:t>
      </w:r>
      <w:r>
        <w:rPr>
          <w:rFonts w:ascii="Times New Roman" w:eastAsia="Times New Roman" w:hAnsi="Times New Roman" w:cs="Times New Roman"/>
          <w:sz w:val="24"/>
          <w:szCs w:val="24"/>
          <w:vertAlign w:val="superscript"/>
        </w:rPr>
        <w:footnoteReference w:id="22"/>
      </w:r>
    </w:p>
    <w:p w14:paraId="202FDD93"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remains missing in these discussions, however, is an analysis of how these various motivations influence the level of Chinese investment across BRI-recipient countries. This project will add to these debates by bridging the aims of the BRI that have been put forward by pundits to the way in which these aims influence how the BRI policy manifests itself in different countries. It also evaluates which of these aims are most clearly reflected in reality.</w:t>
      </w:r>
    </w:p>
    <w:p w14:paraId="67542631" w14:textId="77777777" w:rsidR="00AF6963" w:rsidRDefault="00AF6963">
      <w:pPr>
        <w:pStyle w:val="Subtitle"/>
        <w:spacing w:after="0" w:line="360" w:lineRule="auto"/>
        <w:jc w:val="both"/>
        <w:rPr>
          <w:rFonts w:ascii="Times New Roman" w:eastAsia="Times New Roman" w:hAnsi="Times New Roman" w:cs="Times New Roman"/>
          <w:b/>
          <w:bCs/>
        </w:rPr>
      </w:pPr>
      <w:bookmarkStart w:id="2" w:name="_dhi3emti6ert" w:colFirst="0" w:colLast="0"/>
      <w:bookmarkEnd w:id="2"/>
    </w:p>
    <w:p w14:paraId="224A252E" w14:textId="77777777" w:rsidR="00AF6963" w:rsidRDefault="00000000">
      <w:pPr>
        <w:pStyle w:val="Subtitle"/>
        <w:spacing w:after="0" w:line="360" w:lineRule="auto"/>
        <w:jc w:val="both"/>
        <w:rPr>
          <w:rFonts w:ascii="Times New Roman" w:eastAsia="Times New Roman" w:hAnsi="Times New Roman" w:cs="Times New Roman"/>
        </w:rPr>
      </w:pPr>
      <w:bookmarkStart w:id="3" w:name="_pxq4xego277e" w:colFirst="0" w:colLast="0"/>
      <w:bookmarkEnd w:id="3"/>
      <w:r>
        <w:rPr>
          <w:rFonts w:ascii="Crimson Text" w:eastAsia="Crimson Text" w:hAnsi="Crimson Text" w:cs="Crimson Text"/>
          <w:b/>
          <w:bCs/>
          <w:sz w:val="40"/>
          <w:szCs w:val="40"/>
        </w:rPr>
        <w:t>Methodology</w:t>
      </w:r>
    </w:p>
    <w:p w14:paraId="11812776" w14:textId="77777777" w:rsidR="00AF6963"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 investigate the research question, this study compares Chinese BRI-related spending in construction and investment in a sample of 21 BRI recipient countries in order to determine the countries receiving the highest Chinese spending. The central assumption made in this research is </w:t>
      </w:r>
      <w:r>
        <w:rPr>
          <w:rFonts w:ascii="Times New Roman" w:eastAsia="Times New Roman" w:hAnsi="Times New Roman" w:cs="Times New Roman"/>
          <w:sz w:val="24"/>
          <w:szCs w:val="24"/>
        </w:rPr>
        <w:lastRenderedPageBreak/>
        <w:t>that the more Chinese spending a country receives, the greater diplomatic and strategic commitment to that country. Given the evolving nature of the BRI, including recent extensions into space cooperation,</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this study focuses on a fixed, diverse sample to ensure analytical depth and geographic balance.</w:t>
      </w:r>
      <w:r>
        <w:rPr>
          <w:rFonts w:ascii="Times New Roman" w:eastAsia="Times New Roman" w:hAnsi="Times New Roman" w:cs="Times New Roman"/>
          <w:sz w:val="24"/>
          <w:szCs w:val="24"/>
        </w:rPr>
        <w:tab/>
      </w:r>
    </w:p>
    <w:p w14:paraId="22D393DD" w14:textId="77777777" w:rsidR="00AF6963" w:rsidRDefault="00000000">
      <w:pPr>
        <w:pStyle w:val="Subtitle"/>
        <w:spacing w:after="0" w:line="360" w:lineRule="auto"/>
        <w:jc w:val="both"/>
        <w:rPr>
          <w:rFonts w:ascii="Crimson Text" w:eastAsia="Crimson Text" w:hAnsi="Crimson Text" w:cs="Crimson Text"/>
          <w:i w:val="0"/>
          <w:iCs w:val="0"/>
          <w:sz w:val="40"/>
          <w:szCs w:val="40"/>
        </w:rPr>
      </w:pPr>
      <w:bookmarkStart w:id="4" w:name="_poa6mlb5uzmy" w:colFirst="0" w:colLast="0"/>
      <w:bookmarkEnd w:id="4"/>
      <w:r>
        <w:rPr>
          <w:rFonts w:ascii="Crimson Text" w:eastAsia="Crimson Text" w:hAnsi="Crimson Text" w:cs="Crimson Text"/>
          <w:b/>
          <w:bCs/>
          <w:sz w:val="40"/>
          <w:szCs w:val="40"/>
        </w:rPr>
        <w:t>Sample Selection</w:t>
      </w:r>
    </w:p>
    <w:p w14:paraId="29DC4F64" w14:textId="77777777" w:rsidR="00AF6963" w:rsidRDefault="00000000">
      <w:pPr>
        <w:widowControl w:val="0"/>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countries chosen represent all major regions (East Asia, South America, Africa, Europe, Middle East) in which China has invested in as part of the BRI to ensure a representative sample. The sample includes Cambodia, Singapore, the Philippines, Laos, Indonesia, Malaysia, Vietnam, Greece, Kenya, Pakistan, Djibouti, Egypt, Turkey, Bangladesh, Algeria, Russia, Angola, Oman, UAE, Chile, and Bolivia.</w:t>
      </w:r>
    </w:p>
    <w:p w14:paraId="03DE7B76" w14:textId="77777777" w:rsidR="00AF6963" w:rsidRDefault="00000000">
      <w:pPr>
        <w:widowControl w:val="0"/>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raw data used in this research comes from the China Global Investment Tracker data collected by the American Enterprise Institute (AEI). This source has been chosen as it is the “only comprehensive public data set covering China’s global investment and construction.”</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Using this data, the following testable hypotheses will be investigated:</w:t>
      </w:r>
    </w:p>
    <w:p w14:paraId="0932FFF7" w14:textId="77777777" w:rsidR="00AF6963" w:rsidRDefault="00AF6963">
      <w:pPr>
        <w:widowControl w:val="0"/>
        <w:spacing w:after="0" w:line="479" w:lineRule="auto"/>
        <w:ind w:firstLine="720"/>
        <w:jc w:val="both"/>
        <w:rPr>
          <w:rFonts w:ascii="Times New Roman" w:eastAsia="Times New Roman" w:hAnsi="Times New Roman" w:cs="Times New Roman"/>
          <w:sz w:val="24"/>
          <w:szCs w:val="24"/>
        </w:rPr>
      </w:pPr>
    </w:p>
    <w:p w14:paraId="04924CA6"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Hypothesis 1</w:t>
      </w:r>
    </w:p>
    <w:p w14:paraId="7B932C55" w14:textId="77777777" w:rsidR="00AF6963" w:rsidRDefault="00000000">
      <w:pPr>
        <w:widowControl w:val="0"/>
        <w:spacing w:after="0" w:line="479"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The natural resources a country provides influences Chinese engagement and commitment under the BRI, resulting in higher spending in those countries.</w:t>
      </w:r>
    </w:p>
    <w:p w14:paraId="5818A347" w14:textId="77777777" w:rsidR="00AF6963" w:rsidRDefault="00000000">
      <w:pPr>
        <w:widowControl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Natural resources such as oil and energy are vital to China. One of Beijing’s main priorities is to ensure a sustainable energy supply to work towards their goal of “becoming a strong and </w:t>
      </w:r>
      <w:r>
        <w:rPr>
          <w:rFonts w:ascii="Times New Roman" w:eastAsia="Times New Roman" w:hAnsi="Times New Roman" w:cs="Times New Roman"/>
          <w:sz w:val="24"/>
          <w:szCs w:val="24"/>
        </w:rPr>
        <w:lastRenderedPageBreak/>
        <w:t>prosperous society by 2049”</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For this hypothesis to be true, the investigation will demonstrate an increase in the spending on Chinese investment and infrastructure to countries that provide natural resources.</w:t>
      </w:r>
    </w:p>
    <w:p w14:paraId="443CB1EF" w14:textId="77777777" w:rsidR="00AF6963" w:rsidRDefault="00000000">
      <w:pPr>
        <w:widowControl w:val="0"/>
        <w:spacing w:after="16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sample, the countries with natural resources have been identified as:</w:t>
      </w:r>
    </w:p>
    <w:p w14:paraId="6783012D" w14:textId="77777777" w:rsidR="00AF6963" w:rsidRDefault="00000000">
      <w:pPr>
        <w:widowControl w:val="0"/>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Algeria</w:t>
      </w:r>
      <w:r>
        <w:rPr>
          <w:rFonts w:ascii="Times New Roman" w:eastAsia="Times New Roman" w:hAnsi="Times New Roman" w:cs="Times New Roman"/>
          <w:sz w:val="24"/>
          <w:szCs w:val="24"/>
        </w:rPr>
        <w:t>, for its abundance of oil and for being a leading exporter of oil and petroleum to China.</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The flagship infrastructure projects part of the BRI in Algeria are the East-West Highway which connects Algeria to Morocco and Tunisia, and the development of the El Hamdania Central Port, set to become Algeria’s first deep-water port.</w:t>
      </w:r>
      <w:r>
        <w:rPr>
          <w:rFonts w:ascii="Times New Roman" w:eastAsia="Times New Roman" w:hAnsi="Times New Roman" w:cs="Times New Roman"/>
          <w:sz w:val="24"/>
          <w:szCs w:val="24"/>
          <w:vertAlign w:val="superscript"/>
        </w:rPr>
        <w:footnoteReference w:id="27"/>
      </w:r>
    </w:p>
    <w:p w14:paraId="27D11602" w14:textId="77777777" w:rsidR="00AF6963" w:rsidRDefault="00000000">
      <w:pPr>
        <w:widowControl w:val="0"/>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Russia</w:t>
      </w:r>
      <w:r>
        <w:rPr>
          <w:rFonts w:ascii="Times New Roman" w:eastAsia="Times New Roman" w:hAnsi="Times New Roman" w:cs="Times New Roman"/>
          <w:sz w:val="24"/>
          <w:szCs w:val="24"/>
        </w:rPr>
        <w:t>, for its abundance of energy. Despite Russia’s presence in two of the six BRI economic corridors, the main area of cooperation between the two countries has been energy. This is reflected by the two flagship BRI projects in Russia: the Power of Siberia Natural Gas Pipeline, which is set to supply 38 billion cubic meters of natural gas to China annually for 30 years</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and the Yamal Liquefied Natural Gas Project.</w:t>
      </w:r>
      <w:r>
        <w:rPr>
          <w:rFonts w:ascii="Times New Roman" w:eastAsia="Times New Roman" w:hAnsi="Times New Roman" w:cs="Times New Roman"/>
          <w:sz w:val="24"/>
          <w:szCs w:val="24"/>
          <w:vertAlign w:val="superscript"/>
        </w:rPr>
        <w:footnoteReference w:id="29"/>
      </w:r>
    </w:p>
    <w:p w14:paraId="1B460B78" w14:textId="77777777" w:rsidR="00AF6963" w:rsidRDefault="00000000">
      <w:pPr>
        <w:widowControl w:val="0"/>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Angola</w:t>
      </w:r>
      <w:r>
        <w:rPr>
          <w:rFonts w:ascii="Times New Roman" w:eastAsia="Times New Roman" w:hAnsi="Times New Roman" w:cs="Times New Roman"/>
          <w:sz w:val="24"/>
          <w:szCs w:val="24"/>
        </w:rPr>
        <w:t xml:space="preserve">, for its abundance of oil. Chinese loans been used to construct roads, bridges, power plants, and hospitals. Most importantly, the Caculo-Cabaça Hydropower Station </w:t>
      </w:r>
      <w:r>
        <w:rPr>
          <w:rFonts w:ascii="Times New Roman" w:eastAsia="Times New Roman" w:hAnsi="Times New Roman" w:cs="Times New Roman"/>
          <w:sz w:val="24"/>
          <w:szCs w:val="24"/>
        </w:rPr>
        <w:lastRenderedPageBreak/>
        <w:t>was built by Chinese SOEs as part of the BRI.</w:t>
      </w:r>
      <w:r>
        <w:rPr>
          <w:rFonts w:ascii="Times New Roman" w:eastAsia="Times New Roman" w:hAnsi="Times New Roman" w:cs="Times New Roman"/>
          <w:sz w:val="24"/>
          <w:szCs w:val="24"/>
          <w:vertAlign w:val="superscript"/>
        </w:rPr>
        <w:footnoteReference w:id="30"/>
      </w:r>
    </w:p>
    <w:p w14:paraId="6932ABAB" w14:textId="77777777" w:rsidR="00AF6963" w:rsidRDefault="00000000">
      <w:pPr>
        <w:widowControl w:val="0"/>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Oman</w:t>
      </w:r>
      <w:r>
        <w:rPr>
          <w:rFonts w:ascii="Times New Roman" w:eastAsia="Times New Roman" w:hAnsi="Times New Roman" w:cs="Times New Roman"/>
          <w:sz w:val="24"/>
          <w:szCs w:val="24"/>
        </w:rPr>
        <w:t xml:space="preserve"> for its abundance of energy. Chinese investments in Oman have focused on building the Sino-Oman industrial city and the Duqum Special Economic Zone.</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“According to Lu Ruquan, director of the Strategic Development Department of the China National Petroleum Corporation, Oman is China’s main energy corridor.”</w:t>
      </w:r>
      <w:r>
        <w:rPr>
          <w:rFonts w:ascii="Times New Roman" w:eastAsia="Times New Roman" w:hAnsi="Times New Roman" w:cs="Times New Roman"/>
          <w:sz w:val="24"/>
          <w:szCs w:val="24"/>
          <w:vertAlign w:val="superscript"/>
        </w:rPr>
        <w:footnoteReference w:id="32"/>
      </w:r>
    </w:p>
    <w:p w14:paraId="57F0BE59" w14:textId="77777777" w:rsidR="00AF6963" w:rsidRDefault="00000000">
      <w:pPr>
        <w:widowControl w:val="0"/>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UAE</w:t>
      </w:r>
      <w:r>
        <w:rPr>
          <w:rFonts w:ascii="Times New Roman" w:eastAsia="Times New Roman" w:hAnsi="Times New Roman" w:cs="Times New Roman"/>
          <w:sz w:val="24"/>
          <w:szCs w:val="24"/>
        </w:rPr>
        <w:t xml:space="preserve"> for its abundance of oil. The flagship BRI projects in the UAE include the China-UAE Industrial Capacity Cooperation Demonstration Zone (ICCDZ).</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It also includes the new Traders Market Station.</w:t>
      </w:r>
      <w:r>
        <w:rPr>
          <w:rFonts w:ascii="Times New Roman" w:eastAsia="Times New Roman" w:hAnsi="Times New Roman" w:cs="Times New Roman"/>
          <w:sz w:val="24"/>
          <w:szCs w:val="24"/>
          <w:vertAlign w:val="superscript"/>
        </w:rPr>
        <w:footnoteReference w:id="34"/>
      </w:r>
    </w:p>
    <w:p w14:paraId="49C34681" w14:textId="77777777" w:rsidR="00AF6963" w:rsidRDefault="00000000">
      <w:pPr>
        <w:widowControl w:val="0"/>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Chile</w:t>
      </w:r>
      <w:r>
        <w:rPr>
          <w:rFonts w:ascii="Times New Roman" w:eastAsia="Times New Roman" w:hAnsi="Times New Roman" w:cs="Times New Roman"/>
          <w:sz w:val="24"/>
          <w:szCs w:val="24"/>
        </w:rPr>
        <w:t xml:space="preserve"> for its abundance in lithium.</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The flagship project in Chile is the high-speed line that goes from the capital, Santiago, to Valparaíso.</w:t>
      </w:r>
      <w:r>
        <w:rPr>
          <w:rFonts w:ascii="Times New Roman" w:eastAsia="Times New Roman" w:hAnsi="Times New Roman" w:cs="Times New Roman"/>
          <w:sz w:val="24"/>
          <w:szCs w:val="24"/>
          <w:vertAlign w:val="superscript"/>
        </w:rPr>
        <w:footnoteReference w:id="36"/>
      </w:r>
    </w:p>
    <w:p w14:paraId="6374AB76" w14:textId="77777777" w:rsidR="00AF6963" w:rsidRDefault="00000000">
      <w:pPr>
        <w:widowControl w:val="0"/>
        <w:numPr>
          <w:ilvl w:val="0"/>
          <w:numId w:val="2"/>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Bolivia</w:t>
      </w:r>
      <w:r>
        <w:rPr>
          <w:rFonts w:ascii="Times New Roman" w:eastAsia="Times New Roman" w:hAnsi="Times New Roman" w:cs="Times New Roman"/>
          <w:sz w:val="24"/>
          <w:szCs w:val="24"/>
        </w:rPr>
        <w:t xml:space="preserve"> similarly for its abundance in lithium.</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The flagship project in Bolivia is the El Espino-Boyuibe Highway Project that links Bolivia to Paraguay and Argentina. </w:t>
      </w:r>
      <w:r>
        <w:rPr>
          <w:rFonts w:ascii="Times New Roman" w:eastAsia="Times New Roman" w:hAnsi="Times New Roman" w:cs="Times New Roman"/>
          <w:sz w:val="24"/>
          <w:szCs w:val="24"/>
        </w:rPr>
        <w:lastRenderedPageBreak/>
        <w:t>Construction includes the reconstruction of the Parapeti Bridge.</w:t>
      </w:r>
      <w:r>
        <w:rPr>
          <w:rFonts w:ascii="Times New Roman" w:eastAsia="Times New Roman" w:hAnsi="Times New Roman" w:cs="Times New Roman"/>
          <w:sz w:val="24"/>
          <w:szCs w:val="24"/>
          <w:vertAlign w:val="superscript"/>
        </w:rPr>
        <w:footnoteReference w:id="38"/>
      </w:r>
    </w:p>
    <w:p w14:paraId="0DE2BD97" w14:textId="77777777" w:rsidR="00AF6963" w:rsidRDefault="00000000">
      <w:pPr>
        <w:widowControl w:val="0"/>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Therefore, if </w:t>
      </w:r>
      <w:r>
        <w:rPr>
          <w:rFonts w:ascii="Times New Roman" w:eastAsia="Times New Roman" w:hAnsi="Times New Roman" w:cs="Times New Roman"/>
          <w:i/>
          <w:iCs/>
          <w:sz w:val="24"/>
          <w:szCs w:val="24"/>
        </w:rPr>
        <w:t>H1</w:t>
      </w:r>
      <w:r>
        <w:rPr>
          <w:rFonts w:ascii="Times New Roman" w:eastAsia="Times New Roman" w:hAnsi="Times New Roman" w:cs="Times New Roman"/>
          <w:sz w:val="24"/>
          <w:szCs w:val="24"/>
        </w:rPr>
        <w:t xml:space="preserve"> is supported, the above listed countries should exhibit the highest levels of BRI-related spending by China.</w:t>
      </w:r>
    </w:p>
    <w:p w14:paraId="4E8FF6A9" w14:textId="77777777" w:rsidR="00AF6963" w:rsidRDefault="00AF6963">
      <w:pPr>
        <w:widowControl w:val="0"/>
        <w:spacing w:after="0" w:line="479" w:lineRule="auto"/>
        <w:ind w:firstLine="720"/>
        <w:jc w:val="both"/>
        <w:rPr>
          <w:rFonts w:ascii="Times New Roman" w:eastAsia="Times New Roman" w:hAnsi="Times New Roman" w:cs="Times New Roman"/>
          <w:sz w:val="24"/>
          <w:szCs w:val="24"/>
        </w:rPr>
      </w:pPr>
    </w:p>
    <w:p w14:paraId="03F6A311"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t>Hypothesis 2</w:t>
      </w:r>
    </w:p>
    <w:p w14:paraId="27DA6558" w14:textId="77777777" w:rsidR="00AF6963" w:rsidRDefault="00000000">
      <w:pPr>
        <w:widowControl w:val="0"/>
        <w:spacing w:after="0" w:line="479"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China’s desire for regional dominance in East Asia leads to greater diplomatic and economic engagement with East Asian countries under the BRI.</w:t>
      </w:r>
    </w:p>
    <w:p w14:paraId="006EB438" w14:textId="77777777" w:rsidR="00AF6963" w:rsidRDefault="00000000">
      <w:pPr>
        <w:widowControl w:val="0"/>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this to be supported, we would expect to see higher BRI-related spending in East Asian countries. From the sample, the East Asian countries have been identified as:</w:t>
      </w:r>
    </w:p>
    <w:p w14:paraId="32047441" w14:textId="77777777" w:rsidR="00AF6963" w:rsidRDefault="00000000">
      <w:pPr>
        <w:widowControl w:val="0"/>
        <w:numPr>
          <w:ilvl w:val="0"/>
          <w:numId w:val="3"/>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Cambodia</w:t>
      </w:r>
      <w:r>
        <w:rPr>
          <w:rFonts w:ascii="Times New Roman" w:eastAsia="Times New Roman" w:hAnsi="Times New Roman" w:cs="Times New Roman"/>
          <w:sz w:val="24"/>
          <w:szCs w:val="24"/>
        </w:rPr>
        <w:t>. Major BRI projects include the Lower Sesan II Hydropower Plant, Phnom Penh-Sihanoukville Expressway and developments in the Sihanoukville Province. These developments include a Special Economic Zone and a deep-water port.</w:t>
      </w:r>
      <w:r>
        <w:rPr>
          <w:rFonts w:ascii="Times New Roman" w:eastAsia="Times New Roman" w:hAnsi="Times New Roman" w:cs="Times New Roman"/>
          <w:sz w:val="24"/>
          <w:szCs w:val="24"/>
          <w:vertAlign w:val="superscript"/>
        </w:rPr>
        <w:footnoteReference w:id="39"/>
      </w:r>
    </w:p>
    <w:p w14:paraId="6FECA605" w14:textId="77777777" w:rsidR="00AF6963" w:rsidRDefault="00000000">
      <w:pPr>
        <w:widowControl w:val="0"/>
        <w:numPr>
          <w:ilvl w:val="0"/>
          <w:numId w:val="3"/>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Singapore</w:t>
      </w:r>
      <w:r>
        <w:rPr>
          <w:rFonts w:ascii="Times New Roman" w:eastAsia="Times New Roman" w:hAnsi="Times New Roman" w:cs="Times New Roman"/>
          <w:sz w:val="24"/>
          <w:szCs w:val="24"/>
        </w:rPr>
        <w:t>. The main BRI projects in Singapore include the New International Land-Sea Trade Corridor, which connects the Chinese province of Chongqing to Singapore, and the China-Singapore Demonstration Initiative on Strategic Connectivity.</w:t>
      </w:r>
      <w:r>
        <w:rPr>
          <w:rFonts w:ascii="Times New Roman" w:eastAsia="Times New Roman" w:hAnsi="Times New Roman" w:cs="Times New Roman"/>
          <w:sz w:val="24"/>
          <w:szCs w:val="24"/>
          <w:vertAlign w:val="superscript"/>
        </w:rPr>
        <w:footnoteReference w:id="40"/>
      </w:r>
    </w:p>
    <w:p w14:paraId="64AA134D" w14:textId="77777777" w:rsidR="00AF6963" w:rsidRDefault="00000000">
      <w:pPr>
        <w:widowControl w:val="0"/>
        <w:numPr>
          <w:ilvl w:val="0"/>
          <w:numId w:val="3"/>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 Philippines</w:t>
      </w:r>
      <w:r>
        <w:rPr>
          <w:rFonts w:ascii="Times New Roman" w:eastAsia="Times New Roman" w:hAnsi="Times New Roman" w:cs="Times New Roman"/>
          <w:sz w:val="24"/>
          <w:szCs w:val="24"/>
        </w:rPr>
        <w:t xml:space="preserve">. The flagship projects in the Philippines include the Kaliwa Dam, </w:t>
      </w:r>
      <w:r>
        <w:rPr>
          <w:rFonts w:ascii="Times New Roman" w:eastAsia="Times New Roman" w:hAnsi="Times New Roman" w:cs="Times New Roman"/>
          <w:sz w:val="24"/>
          <w:szCs w:val="24"/>
        </w:rPr>
        <w:lastRenderedPageBreak/>
        <w:t>overseen by the SOE Energy China, and the Chico River Pump Irrigation Project.</w:t>
      </w:r>
      <w:r>
        <w:rPr>
          <w:rFonts w:ascii="Times New Roman" w:eastAsia="Times New Roman" w:hAnsi="Times New Roman" w:cs="Times New Roman"/>
          <w:sz w:val="24"/>
          <w:szCs w:val="24"/>
          <w:vertAlign w:val="superscript"/>
        </w:rPr>
        <w:footnoteReference w:id="41"/>
      </w:r>
    </w:p>
    <w:p w14:paraId="6BB34E68" w14:textId="77777777" w:rsidR="00AF6963" w:rsidRDefault="00000000">
      <w:pPr>
        <w:widowControl w:val="0"/>
        <w:numPr>
          <w:ilvl w:val="0"/>
          <w:numId w:val="3"/>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Laos</w:t>
      </w:r>
      <w:r>
        <w:rPr>
          <w:rFonts w:ascii="Times New Roman" w:eastAsia="Times New Roman" w:hAnsi="Times New Roman" w:cs="Times New Roman"/>
          <w:sz w:val="24"/>
          <w:szCs w:val="24"/>
        </w:rPr>
        <w:t>. The Laos-China Economic Corridor and the Laos-China High-Speed Railway, which connects Vientiane in Laos to Boten on the China-Laos border, are the key BRI projects in Laos.</w:t>
      </w:r>
      <w:r>
        <w:rPr>
          <w:rFonts w:ascii="Times New Roman" w:eastAsia="Times New Roman" w:hAnsi="Times New Roman" w:cs="Times New Roman"/>
          <w:sz w:val="24"/>
          <w:szCs w:val="24"/>
          <w:vertAlign w:val="superscript"/>
        </w:rPr>
        <w:footnoteReference w:id="42"/>
      </w:r>
    </w:p>
    <w:p w14:paraId="58D3D907" w14:textId="77777777" w:rsidR="00AF6963" w:rsidRDefault="00000000">
      <w:pPr>
        <w:widowControl w:val="0"/>
        <w:numPr>
          <w:ilvl w:val="0"/>
          <w:numId w:val="3"/>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Indonesia</w:t>
      </w:r>
      <w:r>
        <w:rPr>
          <w:rFonts w:ascii="Times New Roman" w:eastAsia="Times New Roman" w:hAnsi="Times New Roman" w:cs="Times New Roman"/>
          <w:sz w:val="24"/>
          <w:szCs w:val="24"/>
        </w:rPr>
        <w:t>. The flagship BRI project in Indonesia is the Jakarta-Bandung High-Speed Railway.</w:t>
      </w:r>
      <w:r>
        <w:rPr>
          <w:rFonts w:ascii="Times New Roman" w:eastAsia="Times New Roman" w:hAnsi="Times New Roman" w:cs="Times New Roman"/>
          <w:sz w:val="24"/>
          <w:szCs w:val="24"/>
          <w:vertAlign w:val="superscript"/>
        </w:rPr>
        <w:footnoteReference w:id="43"/>
      </w:r>
    </w:p>
    <w:p w14:paraId="5239B4F0" w14:textId="77777777" w:rsidR="00AF6963" w:rsidRDefault="00000000">
      <w:pPr>
        <w:widowControl w:val="0"/>
        <w:numPr>
          <w:ilvl w:val="0"/>
          <w:numId w:val="3"/>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Malaysia</w:t>
      </w:r>
      <w:r>
        <w:rPr>
          <w:rFonts w:ascii="Times New Roman" w:eastAsia="Times New Roman" w:hAnsi="Times New Roman" w:cs="Times New Roman"/>
          <w:sz w:val="24"/>
          <w:szCs w:val="24"/>
        </w:rPr>
        <w:t>. The major BRI projects in Malaysia include the East Coast Rail Link (ECRL), the Malaysia-China Kuantan Industrial Park, and developments at the Kuantan Port.</w:t>
      </w:r>
      <w:r>
        <w:rPr>
          <w:rFonts w:ascii="Times New Roman" w:eastAsia="Times New Roman" w:hAnsi="Times New Roman" w:cs="Times New Roman"/>
          <w:sz w:val="24"/>
          <w:szCs w:val="24"/>
          <w:vertAlign w:val="superscript"/>
        </w:rPr>
        <w:footnoteReference w:id="44"/>
      </w:r>
    </w:p>
    <w:p w14:paraId="0ADF3B66" w14:textId="77777777" w:rsidR="00AF6963" w:rsidRDefault="00000000">
      <w:pPr>
        <w:widowControl w:val="0"/>
        <w:numPr>
          <w:ilvl w:val="0"/>
          <w:numId w:val="3"/>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Vietnam</w:t>
      </w:r>
      <w:r>
        <w:rPr>
          <w:rFonts w:ascii="Times New Roman" w:eastAsia="Times New Roman" w:hAnsi="Times New Roman" w:cs="Times New Roman"/>
          <w:sz w:val="24"/>
          <w:szCs w:val="24"/>
        </w:rPr>
        <w:t>. The flagship BRI projects in Vietnam are both energy related: the Dau Tieng Solar Power Project and the Nam Dinh 1 Coal Power Project.</w:t>
      </w:r>
      <w:r>
        <w:rPr>
          <w:rFonts w:ascii="Times New Roman" w:eastAsia="Times New Roman" w:hAnsi="Times New Roman" w:cs="Times New Roman"/>
          <w:sz w:val="24"/>
          <w:szCs w:val="24"/>
          <w:vertAlign w:val="superscript"/>
        </w:rPr>
        <w:footnoteReference w:id="45"/>
      </w:r>
    </w:p>
    <w:p w14:paraId="30F67439" w14:textId="77777777" w:rsidR="00AF6963" w:rsidRDefault="00000000">
      <w:pPr>
        <w:widowControl w:val="0"/>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Therefore, for </w:t>
      </w:r>
      <w:r>
        <w:rPr>
          <w:rFonts w:ascii="Times New Roman" w:eastAsia="Times New Roman" w:hAnsi="Times New Roman" w:cs="Times New Roman"/>
          <w:i/>
          <w:iCs/>
          <w:sz w:val="24"/>
          <w:szCs w:val="24"/>
        </w:rPr>
        <w:t>H2</w:t>
      </w:r>
      <w:r>
        <w:rPr>
          <w:rFonts w:ascii="Times New Roman" w:eastAsia="Times New Roman" w:hAnsi="Times New Roman" w:cs="Times New Roman"/>
          <w:sz w:val="24"/>
          <w:szCs w:val="24"/>
        </w:rPr>
        <w:t xml:space="preserve"> to be supported, these countries would receive the highest levels of BRI-related investment and infrastructure spending.</w:t>
      </w:r>
    </w:p>
    <w:p w14:paraId="79D58313" w14:textId="77777777" w:rsidR="00AF6963" w:rsidRDefault="00AF6963">
      <w:pPr>
        <w:widowControl w:val="0"/>
        <w:spacing w:after="0" w:line="479" w:lineRule="auto"/>
        <w:ind w:firstLine="720"/>
        <w:jc w:val="both"/>
        <w:rPr>
          <w:rFonts w:ascii="Times New Roman" w:eastAsia="Times New Roman" w:hAnsi="Times New Roman" w:cs="Times New Roman"/>
          <w:sz w:val="24"/>
          <w:szCs w:val="24"/>
        </w:rPr>
      </w:pPr>
    </w:p>
    <w:p w14:paraId="0F125DFA"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iCs/>
          <w:color w:val="A0504F"/>
          <w:sz w:val="28"/>
          <w:szCs w:val="28"/>
        </w:rPr>
        <w:lastRenderedPageBreak/>
        <w:t>Hypothesis 3</w:t>
      </w:r>
    </w:p>
    <w:p w14:paraId="4EABECDA" w14:textId="77777777" w:rsidR="00AF6963" w:rsidRDefault="00000000">
      <w:pPr>
        <w:widowControl w:val="0"/>
        <w:spacing w:after="0" w:line="479"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The most important goal for the BRI is to increase trade by gaining access to new markets and thus countries that provide strategic market access will receive the highest level of BRI investment and infrastructure spending.</w:t>
      </w:r>
    </w:p>
    <w:p w14:paraId="34AA4767" w14:textId="77777777" w:rsidR="00AF6963" w:rsidRDefault="00000000">
      <w:pPr>
        <w:widowControl w:val="0"/>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sample, the countries identified as providing the most access to new markets are:</w:t>
      </w:r>
    </w:p>
    <w:p w14:paraId="03821CF4" w14:textId="77777777" w:rsidR="00AF6963" w:rsidRDefault="00000000">
      <w:pPr>
        <w:widowControl w:val="0"/>
        <w:numPr>
          <w:ilvl w:val="0"/>
          <w:numId w:val="1"/>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Greece</w:t>
      </w:r>
      <w:r>
        <w:rPr>
          <w:rFonts w:ascii="Times New Roman" w:eastAsia="Times New Roman" w:hAnsi="Times New Roman" w:cs="Times New Roman"/>
          <w:sz w:val="24"/>
          <w:szCs w:val="24"/>
        </w:rPr>
        <w:t xml:space="preserve"> for its access to European markets.</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The flagship project in Greece is the construction of the Port of Piraeus and the Piraeus Container Terminal, which became the “fourth-busiest container terminal in Europe.</w:t>
      </w:r>
      <w:r>
        <w:rPr>
          <w:rFonts w:ascii="Times New Roman" w:eastAsia="Times New Roman" w:hAnsi="Times New Roman" w:cs="Times New Roman"/>
          <w:sz w:val="24"/>
          <w:szCs w:val="24"/>
          <w:vertAlign w:val="superscript"/>
        </w:rPr>
        <w:footnoteReference w:id="47"/>
      </w:r>
    </w:p>
    <w:p w14:paraId="319D6AA6" w14:textId="77777777" w:rsidR="00AF6963" w:rsidRDefault="00000000">
      <w:pPr>
        <w:widowControl w:val="0"/>
        <w:numPr>
          <w:ilvl w:val="0"/>
          <w:numId w:val="1"/>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Kenya</w:t>
      </w:r>
      <w:r>
        <w:rPr>
          <w:rFonts w:ascii="Times New Roman" w:eastAsia="Times New Roman" w:hAnsi="Times New Roman" w:cs="Times New Roman"/>
          <w:sz w:val="24"/>
          <w:szCs w:val="24"/>
        </w:rPr>
        <w:t xml:space="preserve"> for its access to East and Central African markets.</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The main BRI project in Kenya is the Standard Gauge Railway (SGR) that connects the Mombasa port to Nairobi (the capital city), Naivasha, Kisumu and Malaba, a town on the Kenya-Uganda border.</w:t>
      </w:r>
      <w:r>
        <w:rPr>
          <w:rFonts w:ascii="Times New Roman" w:eastAsia="Times New Roman" w:hAnsi="Times New Roman" w:cs="Times New Roman"/>
          <w:sz w:val="24"/>
          <w:szCs w:val="24"/>
          <w:vertAlign w:val="superscript"/>
        </w:rPr>
        <w:footnoteReference w:id="49"/>
      </w:r>
    </w:p>
    <w:p w14:paraId="7F112A02" w14:textId="77777777" w:rsidR="00AF6963" w:rsidRDefault="00000000">
      <w:pPr>
        <w:widowControl w:val="0"/>
        <w:numPr>
          <w:ilvl w:val="0"/>
          <w:numId w:val="1"/>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Pakistan</w:t>
      </w:r>
      <w:r>
        <w:rPr>
          <w:rFonts w:ascii="Times New Roman" w:eastAsia="Times New Roman" w:hAnsi="Times New Roman" w:cs="Times New Roman"/>
          <w:sz w:val="24"/>
          <w:szCs w:val="24"/>
        </w:rPr>
        <w:t xml:space="preserve"> for its access to new markets via the Indian Ocean. The flagship project in Pakistan is the China-Pakistan Economic Corridor (CPEC) that includes projects in the energy sector, transportation infrastructure, and the construction of the deep-sea port of Gwadar.</w:t>
      </w:r>
      <w:r>
        <w:rPr>
          <w:rFonts w:ascii="Times New Roman" w:eastAsia="Times New Roman" w:hAnsi="Times New Roman" w:cs="Times New Roman"/>
          <w:sz w:val="24"/>
          <w:szCs w:val="24"/>
          <w:vertAlign w:val="superscript"/>
        </w:rPr>
        <w:footnoteReference w:id="50"/>
      </w:r>
    </w:p>
    <w:p w14:paraId="50858869" w14:textId="77777777" w:rsidR="00AF6963" w:rsidRDefault="00000000">
      <w:pPr>
        <w:widowControl w:val="0"/>
        <w:numPr>
          <w:ilvl w:val="0"/>
          <w:numId w:val="1"/>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Djibouti</w:t>
      </w:r>
      <w:r>
        <w:rPr>
          <w:rFonts w:ascii="Times New Roman" w:eastAsia="Times New Roman" w:hAnsi="Times New Roman" w:cs="Times New Roman"/>
          <w:sz w:val="24"/>
          <w:szCs w:val="24"/>
        </w:rPr>
        <w:t xml:space="preserve"> for its location along major international shipping corridors.</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The main BRI </w:t>
      </w:r>
      <w:r>
        <w:rPr>
          <w:rFonts w:ascii="Times New Roman" w:eastAsia="Times New Roman" w:hAnsi="Times New Roman" w:cs="Times New Roman"/>
          <w:sz w:val="24"/>
          <w:szCs w:val="24"/>
        </w:rPr>
        <w:lastRenderedPageBreak/>
        <w:t>projects in Djibouti consist of the Boraleh Multipurpose Port, the Djibouti International Free Trade Zone and the Addis Ababa-Djibouti Railway which facilitates access to the Ethiopian market.</w:t>
      </w:r>
      <w:r>
        <w:rPr>
          <w:rFonts w:ascii="Times New Roman" w:eastAsia="Times New Roman" w:hAnsi="Times New Roman" w:cs="Times New Roman"/>
          <w:sz w:val="24"/>
          <w:szCs w:val="24"/>
          <w:vertAlign w:val="superscript"/>
        </w:rPr>
        <w:footnoteReference w:id="52"/>
      </w:r>
    </w:p>
    <w:p w14:paraId="2DCEFD63" w14:textId="77777777" w:rsidR="00AF6963" w:rsidRDefault="00000000">
      <w:pPr>
        <w:widowControl w:val="0"/>
        <w:numPr>
          <w:ilvl w:val="0"/>
          <w:numId w:val="1"/>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Egypt</w:t>
      </w:r>
      <w:r>
        <w:rPr>
          <w:rFonts w:ascii="Times New Roman" w:eastAsia="Times New Roman" w:hAnsi="Times New Roman" w:cs="Times New Roman"/>
          <w:sz w:val="24"/>
          <w:szCs w:val="24"/>
        </w:rPr>
        <w:t xml:space="preserve"> for its critical access to global markets via the Suez Canal. The flagship projects in Egypt include the Suez Canal Economic Zone and the High-Speed Rail Line running from the Red Sea town of Ain Sokhna to the new administrative capital.</w:t>
      </w:r>
      <w:r>
        <w:rPr>
          <w:rFonts w:ascii="Times New Roman" w:eastAsia="Times New Roman" w:hAnsi="Times New Roman" w:cs="Times New Roman"/>
          <w:sz w:val="24"/>
          <w:szCs w:val="24"/>
          <w:vertAlign w:val="superscript"/>
        </w:rPr>
        <w:footnoteReference w:id="53"/>
      </w:r>
    </w:p>
    <w:p w14:paraId="78DB7F40" w14:textId="77777777" w:rsidR="00AF6963" w:rsidRDefault="00000000">
      <w:pPr>
        <w:widowControl w:val="0"/>
        <w:numPr>
          <w:ilvl w:val="0"/>
          <w:numId w:val="1"/>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Turkey</w:t>
      </w:r>
      <w:r>
        <w:rPr>
          <w:rFonts w:ascii="Times New Roman" w:eastAsia="Times New Roman" w:hAnsi="Times New Roman" w:cs="Times New Roman"/>
          <w:sz w:val="24"/>
          <w:szCs w:val="24"/>
        </w:rPr>
        <w:t xml:space="preserve"> for its access to both European and Middle Eastern markets. The main project in Turkey is the Middle Corridor Initiative that links Anatolia to Central Asia and China.</w:t>
      </w:r>
      <w:r>
        <w:rPr>
          <w:rFonts w:ascii="Times New Roman" w:eastAsia="Times New Roman" w:hAnsi="Times New Roman" w:cs="Times New Roman"/>
          <w:sz w:val="24"/>
          <w:szCs w:val="24"/>
          <w:vertAlign w:val="superscript"/>
        </w:rPr>
        <w:footnoteReference w:id="54"/>
      </w:r>
    </w:p>
    <w:p w14:paraId="17ADB49C" w14:textId="77777777" w:rsidR="00AF6963" w:rsidRDefault="00000000">
      <w:pPr>
        <w:widowControl w:val="0"/>
        <w:numPr>
          <w:ilvl w:val="0"/>
          <w:numId w:val="1"/>
        </w:num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Bangladesh</w:t>
      </w:r>
      <w:r>
        <w:rPr>
          <w:rFonts w:ascii="Times New Roman" w:eastAsia="Times New Roman" w:hAnsi="Times New Roman" w:cs="Times New Roman"/>
          <w:sz w:val="24"/>
          <w:szCs w:val="24"/>
        </w:rPr>
        <w:t xml:space="preserve"> for its access to South Asian markets. Two major BRI projects in Bangladesh include the Padma Bridge and the Payra Power Plant.</w:t>
      </w:r>
      <w:r>
        <w:rPr>
          <w:rFonts w:ascii="Times New Roman" w:eastAsia="Times New Roman" w:hAnsi="Times New Roman" w:cs="Times New Roman"/>
          <w:sz w:val="24"/>
          <w:szCs w:val="24"/>
          <w:vertAlign w:val="superscript"/>
        </w:rPr>
        <w:footnoteReference w:id="55"/>
      </w:r>
    </w:p>
    <w:p w14:paraId="7DF68FF9" w14:textId="77777777" w:rsidR="00AF6963" w:rsidRDefault="00000000">
      <w:pPr>
        <w:widowControl w:val="0"/>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i/>
          <w:iCs/>
          <w:sz w:val="24"/>
          <w:szCs w:val="24"/>
        </w:rPr>
        <w:t>H3</w:t>
      </w:r>
      <w:r>
        <w:rPr>
          <w:rFonts w:ascii="Times New Roman" w:eastAsia="Times New Roman" w:hAnsi="Times New Roman" w:cs="Times New Roman"/>
          <w:sz w:val="24"/>
          <w:szCs w:val="24"/>
        </w:rPr>
        <w:t xml:space="preserve"> to be supported, these countries would show the highest levels of BRI-related investment from China.</w:t>
      </w:r>
    </w:p>
    <w:p w14:paraId="76FE3259" w14:textId="77777777" w:rsidR="00AF6963" w:rsidRDefault="00AF6963">
      <w:pPr>
        <w:widowControl w:val="0"/>
        <w:spacing w:after="0" w:line="479" w:lineRule="auto"/>
        <w:ind w:firstLine="720"/>
        <w:jc w:val="both"/>
        <w:rPr>
          <w:rFonts w:ascii="Times New Roman" w:eastAsia="Times New Roman" w:hAnsi="Times New Roman" w:cs="Times New Roman"/>
          <w:sz w:val="24"/>
          <w:szCs w:val="24"/>
        </w:rPr>
      </w:pPr>
    </w:p>
    <w:p w14:paraId="10DE79F2" w14:textId="77777777" w:rsidR="00AF6963" w:rsidRDefault="00000000">
      <w:pPr>
        <w:pStyle w:val="Subtitle"/>
        <w:spacing w:after="0" w:line="360" w:lineRule="auto"/>
        <w:jc w:val="both"/>
        <w:rPr>
          <w:rFonts w:ascii="Crimson Text" w:eastAsia="Crimson Text" w:hAnsi="Crimson Text" w:cs="Crimson Text"/>
          <w:b/>
          <w:bCs/>
          <w:sz w:val="40"/>
          <w:szCs w:val="40"/>
        </w:rPr>
      </w:pPr>
      <w:bookmarkStart w:id="5" w:name="_kcly9panxk3r" w:colFirst="0" w:colLast="0"/>
      <w:bookmarkEnd w:id="5"/>
      <w:r>
        <w:rPr>
          <w:rFonts w:ascii="Crimson Text" w:eastAsia="Crimson Text" w:hAnsi="Crimson Text" w:cs="Crimson Text"/>
          <w:b/>
          <w:bCs/>
          <w:sz w:val="40"/>
          <w:szCs w:val="40"/>
        </w:rPr>
        <w:t>Findings</w:t>
      </w:r>
    </w:p>
    <w:p w14:paraId="41F8E4E6"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China Global Investment Tracker (AEI) dataset includes Chinese investment and construction spending from 2003 to 2022, including spending on projects not officially categorized under the BRI. For this research, the dataset was modified to include only BRI-related projects, </w:t>
      </w:r>
      <w:r>
        <w:rPr>
          <w:rFonts w:ascii="Times New Roman" w:eastAsia="Times New Roman" w:hAnsi="Times New Roman" w:cs="Times New Roman"/>
          <w:sz w:val="24"/>
          <w:szCs w:val="24"/>
        </w:rPr>
        <w:lastRenderedPageBreak/>
        <w:t>with the time frame restricted to 2013-2022, starting from the year the BRI was announced. This ensures only the most relevant data is included in the analysis.</w:t>
      </w:r>
    </w:p>
    <w:p w14:paraId="047216F0"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Below are three tables summarizing Chinese BRI investment and construction spending for the selected sample of 21 countries. Each country is categorized according to the hypothesis it supports. The raw data includes disaggregated spending by various SOEs; however, to simplify the analysis, the values have been aggregated to reflect total BRI-related spending per country. Detailed breakdowns can be found in Appendices A, B, and C.</w:t>
      </w:r>
    </w:p>
    <w:p w14:paraId="066E1AF1" w14:textId="3D845A5E" w:rsidR="00AF6963" w:rsidRDefault="00000000" w:rsidP="00E75197">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Table 1 </w:t>
      </w:r>
      <w:r>
        <w:rPr>
          <w:rFonts w:ascii="Times New Roman" w:eastAsia="Times New Roman" w:hAnsi="Times New Roman" w:cs="Times New Roman"/>
          <w:sz w:val="24"/>
          <w:szCs w:val="24"/>
        </w:rPr>
        <w:t>depicts Chinese spending in both investment and infrastructure in the East Asian countries identified for this research.</w:t>
      </w:r>
    </w:p>
    <w:p w14:paraId="490C4E91" w14:textId="77777777" w:rsidR="00AF6963"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Table 1</w:t>
      </w:r>
    </w:p>
    <w:tbl>
      <w:tblPr>
        <w:tblStyle w:val="a"/>
        <w:tblW w:w="93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50"/>
        <w:gridCol w:w="4680"/>
      </w:tblGrid>
      <w:tr w:rsidR="00AF6963" w14:paraId="3B73471C" w14:textId="77777777">
        <w:trPr>
          <w:trHeight w:val="1770"/>
        </w:trPr>
        <w:tc>
          <w:tcPr>
            <w:tcW w:w="46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2EE14C"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EAST ASIAN COUNTRIES</w:t>
            </w:r>
          </w:p>
        </w:tc>
        <w:tc>
          <w:tcPr>
            <w:tcW w:w="46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9860B88" w14:textId="77777777" w:rsidR="00AF6963" w:rsidRDefault="00000000">
            <w:pPr>
              <w:spacing w:after="160"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BRI INVESTMENT AND</w:t>
            </w:r>
          </w:p>
          <w:p w14:paraId="66754209" w14:textId="77777777" w:rsidR="00AF6963" w:rsidRDefault="00000000">
            <w:pPr>
              <w:spacing w:after="0"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CONSTRUCTION IN US DOLLARS</w:t>
            </w:r>
          </w:p>
        </w:tc>
      </w:tr>
      <w:tr w:rsidR="00AF6963" w14:paraId="712FB381"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7BCFF8"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Cambodia</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38E62BEB"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13,540 million</w:t>
            </w:r>
          </w:p>
        </w:tc>
      </w:tr>
      <w:tr w:rsidR="00AF6963" w14:paraId="2365A594"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065399"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Singapore</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63C1F876"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40,760 million</w:t>
            </w:r>
          </w:p>
        </w:tc>
      </w:tr>
      <w:tr w:rsidR="00AF6963" w14:paraId="34462451"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8DE906"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Philippines</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18313EE2"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17,570 million</w:t>
            </w:r>
          </w:p>
        </w:tc>
      </w:tr>
      <w:tr w:rsidR="00AF6963" w14:paraId="2DA093F7"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EC0475"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Laos</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5673A57D"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22,520 million</w:t>
            </w:r>
          </w:p>
        </w:tc>
      </w:tr>
      <w:tr w:rsidR="00AF6963" w14:paraId="63F02C63"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593643"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Indonesia</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6D835F69"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44,250 million</w:t>
            </w:r>
          </w:p>
        </w:tc>
      </w:tr>
      <w:tr w:rsidR="00AF6963" w14:paraId="1B4BBD0B"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FE3CBBA"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Vietnam</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310B586B"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14,630 million</w:t>
            </w:r>
          </w:p>
        </w:tc>
      </w:tr>
      <w:tr w:rsidR="00AF6963" w14:paraId="537CA0DC"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9FFD01"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Malaysia</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6BB9D711"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30,060 million</w:t>
            </w:r>
          </w:p>
        </w:tc>
      </w:tr>
      <w:tr w:rsidR="00AF6963" w14:paraId="3C6406DB"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33F129"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Spending:</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36B7988C"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183,330 million</w:t>
            </w:r>
          </w:p>
        </w:tc>
      </w:tr>
    </w:tbl>
    <w:p w14:paraId="6467CAC9" w14:textId="77777777" w:rsidR="00AF6963"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lastRenderedPageBreak/>
        <w:footnoteReference w:id="56"/>
      </w:r>
    </w:p>
    <w:p w14:paraId="275D4AC7" w14:textId="4D1C5398" w:rsidR="00AF6963" w:rsidRPr="00E75197" w:rsidRDefault="00000000" w:rsidP="00E75197">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 xml:space="preserve">Table 2 </w:t>
      </w:r>
      <w:r>
        <w:rPr>
          <w:rFonts w:ascii="Times New Roman" w:eastAsia="Times New Roman" w:hAnsi="Times New Roman" w:cs="Times New Roman"/>
          <w:sz w:val="24"/>
          <w:szCs w:val="24"/>
        </w:rPr>
        <w:t>includes Chinese spending in investment and infrastructure in the countries identified for providing market access for this research:</w:t>
      </w:r>
    </w:p>
    <w:p w14:paraId="410A7B7A" w14:textId="77777777" w:rsidR="00AF6963"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Table 2</w:t>
      </w:r>
    </w:p>
    <w:tbl>
      <w:tblPr>
        <w:tblStyle w:val="a0"/>
        <w:tblW w:w="93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50"/>
        <w:gridCol w:w="4680"/>
      </w:tblGrid>
      <w:tr w:rsidR="00AF6963" w14:paraId="63388FC6" w14:textId="77777777">
        <w:trPr>
          <w:trHeight w:val="1770"/>
        </w:trPr>
        <w:tc>
          <w:tcPr>
            <w:tcW w:w="46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A2FC03A" w14:textId="77777777" w:rsidR="00AF6963" w:rsidRDefault="00000000">
            <w:pPr>
              <w:spacing w:after="160"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TRADE &amp; MARKET ACCESS COUNTRIES</w:t>
            </w:r>
          </w:p>
        </w:tc>
        <w:tc>
          <w:tcPr>
            <w:tcW w:w="46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4EE40CC" w14:textId="77777777" w:rsidR="00AF6963" w:rsidRDefault="00000000">
            <w:pPr>
              <w:spacing w:after="160"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BRI INVESTMENT AND CONSTRUCTION IN US DOLLARS</w:t>
            </w:r>
          </w:p>
        </w:tc>
      </w:tr>
      <w:tr w:rsidR="00AF6963" w14:paraId="51D1A31B"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F08B94"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Greece</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26276EC8"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4,210 million</w:t>
            </w:r>
          </w:p>
        </w:tc>
      </w:tr>
      <w:tr w:rsidR="00AF6963" w14:paraId="1AD608E7"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6B2257"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Kenya</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13115427"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9,370 million</w:t>
            </w:r>
          </w:p>
        </w:tc>
      </w:tr>
      <w:tr w:rsidR="00AF6963" w14:paraId="10BF3F94"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204A41"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Pakistan</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11CD6C45"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53,190 million</w:t>
            </w:r>
          </w:p>
        </w:tc>
      </w:tr>
      <w:tr w:rsidR="00AF6963" w14:paraId="0EDE1176"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F6C033"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Djibouti</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7C38172D"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1,480 million</w:t>
            </w:r>
          </w:p>
        </w:tc>
      </w:tr>
      <w:tr w:rsidR="00AF6963" w14:paraId="59C57758"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5095EF"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Egypt</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4694E943"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16,520 million</w:t>
            </w:r>
          </w:p>
        </w:tc>
      </w:tr>
      <w:tr w:rsidR="00AF6963" w14:paraId="122C493E"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805A2B"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Turkey</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620FC603"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5,780 million</w:t>
            </w:r>
          </w:p>
        </w:tc>
      </w:tr>
      <w:tr w:rsidR="00AF6963" w14:paraId="6F2E28F9"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02956E"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Bangladesh</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262B88DC"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26,420 million</w:t>
            </w:r>
          </w:p>
        </w:tc>
      </w:tr>
      <w:tr w:rsidR="00AF6963" w14:paraId="7C2786FC"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E6DC7B"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Spending:</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2BA53679"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116,970 million</w:t>
            </w:r>
          </w:p>
        </w:tc>
      </w:tr>
    </w:tbl>
    <w:p w14:paraId="1372793F" w14:textId="77777777" w:rsidR="00AF6963"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footnoteReference w:id="57"/>
      </w:r>
    </w:p>
    <w:p w14:paraId="2E02A4C4" w14:textId="0F9B1FB6" w:rsidR="00AF6963" w:rsidRPr="00E75197" w:rsidRDefault="00000000" w:rsidP="00E75197">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Table 3 </w:t>
      </w:r>
      <w:r>
        <w:rPr>
          <w:rFonts w:ascii="Times New Roman" w:eastAsia="Times New Roman" w:hAnsi="Times New Roman" w:cs="Times New Roman"/>
          <w:sz w:val="24"/>
          <w:szCs w:val="24"/>
        </w:rPr>
        <w:t>includes Chinese spending in investment and infrastructure in the countries identified for their abundance in natural resources for this research:</w:t>
      </w:r>
    </w:p>
    <w:p w14:paraId="67AD3A43" w14:textId="77777777" w:rsidR="00E75197" w:rsidRDefault="00E75197">
      <w:pPr>
        <w:spacing w:after="0" w:line="360" w:lineRule="auto"/>
        <w:jc w:val="center"/>
        <w:rPr>
          <w:rFonts w:ascii="Times New Roman" w:eastAsia="Times New Roman" w:hAnsi="Times New Roman" w:cs="Times New Roman"/>
          <w:b/>
          <w:bCs/>
          <w:sz w:val="20"/>
          <w:szCs w:val="20"/>
        </w:rPr>
      </w:pPr>
    </w:p>
    <w:p w14:paraId="3677C3AD" w14:textId="7B8CE800" w:rsidR="00AF6963"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lastRenderedPageBreak/>
        <w:t>Table 3</w:t>
      </w:r>
    </w:p>
    <w:tbl>
      <w:tblPr>
        <w:tblStyle w:val="a1"/>
        <w:tblW w:w="93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50"/>
        <w:gridCol w:w="4680"/>
      </w:tblGrid>
      <w:tr w:rsidR="00AF6963" w14:paraId="6682AB78" w14:textId="77777777">
        <w:trPr>
          <w:trHeight w:val="1770"/>
        </w:trPr>
        <w:tc>
          <w:tcPr>
            <w:tcW w:w="46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9AA0D6" w14:textId="77777777" w:rsidR="00AF6963" w:rsidRDefault="00000000">
            <w:pPr>
              <w:spacing w:after="160"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NATURAL RESOURCE COUNTRIES</w:t>
            </w:r>
          </w:p>
        </w:tc>
        <w:tc>
          <w:tcPr>
            <w:tcW w:w="46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618F52D" w14:textId="77777777" w:rsidR="00AF6963" w:rsidRDefault="00000000">
            <w:pPr>
              <w:spacing w:after="0"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BRI INVESTMENT AND CONSTRUCTION IN US DOLLARS</w:t>
            </w:r>
          </w:p>
        </w:tc>
      </w:tr>
      <w:tr w:rsidR="00AF6963" w14:paraId="05B42B04"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F8F88E"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136430E3"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10,750 million</w:t>
            </w:r>
          </w:p>
        </w:tc>
      </w:tr>
      <w:tr w:rsidR="00AF6963" w14:paraId="70C2239E"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BE2F4EB"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Russia</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7CDACB9C"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38,810 million</w:t>
            </w:r>
          </w:p>
        </w:tc>
      </w:tr>
      <w:tr w:rsidR="00AF6963" w14:paraId="0BAFCEE1"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DD5FA7"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61AB823A"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11,110 million</w:t>
            </w:r>
          </w:p>
        </w:tc>
      </w:tr>
      <w:tr w:rsidR="00AF6963" w14:paraId="5122C71E"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A03F1D"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Oman</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08A23047"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6,390 million</w:t>
            </w:r>
          </w:p>
        </w:tc>
      </w:tr>
      <w:tr w:rsidR="00AF6963" w14:paraId="0ACF678C"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3DB3FF"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UAE</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602F1F44"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29,380 million</w:t>
            </w:r>
          </w:p>
        </w:tc>
      </w:tr>
      <w:tr w:rsidR="00AF6963" w14:paraId="66D00DAC"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C4124B"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Chile</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69FE9612"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15,180 million</w:t>
            </w:r>
          </w:p>
        </w:tc>
      </w:tr>
      <w:tr w:rsidR="00AF6963" w14:paraId="0B6A006C"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A97738"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Bolivia</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3E4F8339"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4,890 million</w:t>
            </w:r>
          </w:p>
        </w:tc>
      </w:tr>
      <w:tr w:rsidR="00AF6963" w14:paraId="1688E284" w14:textId="77777777">
        <w:trPr>
          <w:trHeight w:val="660"/>
        </w:trPr>
        <w:tc>
          <w:tcPr>
            <w:tcW w:w="465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9ED31F"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Spending</w:t>
            </w:r>
          </w:p>
        </w:tc>
        <w:tc>
          <w:tcPr>
            <w:tcW w:w="4680" w:type="dxa"/>
            <w:tcBorders>
              <w:top w:val="nil"/>
              <w:left w:val="nil"/>
              <w:bottom w:val="single" w:sz="6" w:space="0" w:color="000000"/>
              <w:right w:val="single" w:sz="6" w:space="0" w:color="000000"/>
            </w:tcBorders>
            <w:tcMar>
              <w:top w:w="0" w:type="dxa"/>
              <w:left w:w="100" w:type="dxa"/>
              <w:bottom w:w="0" w:type="dxa"/>
              <w:right w:w="100" w:type="dxa"/>
            </w:tcMar>
          </w:tcPr>
          <w:p w14:paraId="74164CB0" w14:textId="77777777" w:rsidR="00AF6963" w:rsidRDefault="00000000">
            <w:pPr>
              <w:spacing w:after="16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116,510 million</w:t>
            </w:r>
          </w:p>
        </w:tc>
      </w:tr>
    </w:tbl>
    <w:p w14:paraId="1C66AF0F" w14:textId="77777777" w:rsidR="00AF6963"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footnoteReference w:id="58"/>
      </w:r>
    </w:p>
    <w:p w14:paraId="2A568268" w14:textId="77777777" w:rsidR="00AF6963"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Tables 1-3</w:t>
      </w:r>
      <w:r>
        <w:rPr>
          <w:rFonts w:ascii="Times New Roman" w:eastAsia="Times New Roman" w:hAnsi="Times New Roman" w:cs="Times New Roman"/>
          <w:sz w:val="24"/>
          <w:szCs w:val="24"/>
        </w:rPr>
        <w:t xml:space="preserve"> above also include each country’s total BRI-related spending, allowing for comparative analysis. The data has also been represented in bar graph format </w:t>
      </w:r>
      <w:r>
        <w:rPr>
          <w:rFonts w:ascii="Times New Roman" w:eastAsia="Times New Roman" w:hAnsi="Times New Roman" w:cs="Times New Roman"/>
          <w:b/>
          <w:bCs/>
          <w:sz w:val="24"/>
          <w:szCs w:val="24"/>
        </w:rPr>
        <w:t>(Fig. 1)</w:t>
      </w:r>
      <w:r>
        <w:rPr>
          <w:rFonts w:ascii="Times New Roman" w:eastAsia="Times New Roman" w:hAnsi="Times New Roman" w:cs="Times New Roman"/>
          <w:sz w:val="24"/>
          <w:szCs w:val="24"/>
        </w:rPr>
        <w:t>, showing Chinese BRI-related spending from lowest to highest for each country.</w:t>
      </w:r>
    </w:p>
    <w:p w14:paraId="53D58CD9" w14:textId="77777777" w:rsidR="00AF6963" w:rsidRDefault="00AF6963">
      <w:pPr>
        <w:spacing w:after="0" w:line="479" w:lineRule="auto"/>
        <w:jc w:val="both"/>
        <w:rPr>
          <w:rFonts w:ascii="Times New Roman" w:eastAsia="Times New Roman" w:hAnsi="Times New Roman" w:cs="Times New Roman"/>
          <w:sz w:val="24"/>
          <w:szCs w:val="24"/>
        </w:rPr>
      </w:pPr>
    </w:p>
    <w:p w14:paraId="42893C18" w14:textId="77777777" w:rsidR="00AF6963" w:rsidRDefault="00AF6963">
      <w:pPr>
        <w:spacing w:after="0" w:line="479" w:lineRule="auto"/>
        <w:jc w:val="both"/>
        <w:rPr>
          <w:rFonts w:ascii="Times New Roman" w:eastAsia="Times New Roman" w:hAnsi="Times New Roman" w:cs="Times New Roman"/>
          <w:sz w:val="24"/>
          <w:szCs w:val="24"/>
        </w:rPr>
      </w:pPr>
    </w:p>
    <w:p w14:paraId="25D347B3" w14:textId="77777777" w:rsidR="00AF6963" w:rsidRDefault="00AF6963">
      <w:pPr>
        <w:spacing w:after="0" w:line="479" w:lineRule="auto"/>
        <w:jc w:val="both"/>
        <w:rPr>
          <w:rFonts w:ascii="Times New Roman" w:eastAsia="Times New Roman" w:hAnsi="Times New Roman" w:cs="Times New Roman"/>
          <w:sz w:val="24"/>
          <w:szCs w:val="24"/>
        </w:rPr>
      </w:pPr>
    </w:p>
    <w:p w14:paraId="357275D8" w14:textId="77777777" w:rsidR="00AF6963" w:rsidRDefault="00AF6963">
      <w:pPr>
        <w:spacing w:after="0" w:line="479" w:lineRule="auto"/>
        <w:jc w:val="both"/>
        <w:rPr>
          <w:rFonts w:ascii="Times New Roman" w:eastAsia="Times New Roman" w:hAnsi="Times New Roman" w:cs="Times New Roman"/>
          <w:sz w:val="24"/>
          <w:szCs w:val="24"/>
        </w:rPr>
      </w:pPr>
    </w:p>
    <w:p w14:paraId="031FB4D1" w14:textId="77777777" w:rsidR="00AF6963" w:rsidRDefault="00000000">
      <w:pPr>
        <w:spacing w:after="0" w:line="36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Fig. 1</w:t>
      </w:r>
    </w:p>
    <w:p w14:paraId="72686521" w14:textId="77777777" w:rsidR="00AF6963" w:rsidRDefault="00000000">
      <w:pPr>
        <w:spacing w:after="0" w:line="36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Bar Graph Representing Chinese Spending in Each Country (in millions)</w:t>
      </w:r>
    </w:p>
    <w:p w14:paraId="29FC8D77" w14:textId="77777777" w:rsidR="00AF6963"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 2 </w:t>
      </w:r>
      <w:r>
        <w:rPr>
          <w:rFonts w:ascii="Times New Roman" w:eastAsia="Times New Roman" w:hAnsi="Times New Roman" w:cs="Times New Roman"/>
          <w:sz w:val="24"/>
          <w:szCs w:val="24"/>
        </w:rPr>
        <w:t>is the next graphical representation of this data. It shows the proportion of total BRI-related spending allocated to countries in each of the three categories: East Asian countries, resource-rich countries, and countries providing access to new markets.</w:t>
      </w:r>
      <w:r>
        <w:rPr>
          <w:noProof/>
        </w:rPr>
        <w:drawing>
          <wp:anchor distT="114300" distB="114300" distL="114300" distR="114300" simplePos="0" relativeHeight="251660288" behindDoc="0" locked="0" layoutInCell="1" hidden="0" allowOverlap="1" wp14:anchorId="6CC55C05" wp14:editId="6A6822CD">
            <wp:simplePos x="0" y="0"/>
            <wp:positionH relativeFrom="column">
              <wp:posOffset>57151</wp:posOffset>
            </wp:positionH>
            <wp:positionV relativeFrom="paragraph">
              <wp:posOffset>123844</wp:posOffset>
            </wp:positionV>
            <wp:extent cx="5829300" cy="3507296"/>
            <wp:effectExtent l="0" t="0" r="0" b="0"/>
            <wp:wrapSquare wrapText="bothSides" distT="114300" distB="114300" distL="114300" distR="114300"/>
            <wp:docPr id="2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
                    <a:srcRect/>
                    <a:stretch>
                      <a:fillRect/>
                    </a:stretch>
                  </pic:blipFill>
                  <pic:spPr>
                    <a:xfrm>
                      <a:off x="0" y="0"/>
                      <a:ext cx="5829300" cy="3507296"/>
                    </a:xfrm>
                    <a:prstGeom prst="rect">
                      <a:avLst/>
                    </a:prstGeom>
                    <a:ln/>
                  </pic:spPr>
                </pic:pic>
              </a:graphicData>
            </a:graphic>
          </wp:anchor>
        </w:drawing>
      </w:r>
    </w:p>
    <w:p w14:paraId="58CBDCFB" w14:textId="77777777" w:rsidR="00AF6963" w:rsidRDefault="00AF6963">
      <w:pPr>
        <w:spacing w:after="0" w:line="480" w:lineRule="auto"/>
        <w:ind w:firstLine="720"/>
        <w:rPr>
          <w:rFonts w:ascii="Times New Roman" w:eastAsia="Times New Roman" w:hAnsi="Times New Roman" w:cs="Times New Roman"/>
          <w:sz w:val="24"/>
          <w:szCs w:val="24"/>
        </w:rPr>
      </w:pPr>
    </w:p>
    <w:p w14:paraId="1FE95F5A" w14:textId="77777777" w:rsidR="00AF6963" w:rsidRDefault="00AF6963">
      <w:pPr>
        <w:spacing w:after="0" w:line="480" w:lineRule="auto"/>
        <w:ind w:firstLine="720"/>
        <w:rPr>
          <w:rFonts w:ascii="Times New Roman" w:eastAsia="Times New Roman" w:hAnsi="Times New Roman" w:cs="Times New Roman"/>
          <w:sz w:val="24"/>
          <w:szCs w:val="24"/>
        </w:rPr>
      </w:pPr>
    </w:p>
    <w:p w14:paraId="56FBD530" w14:textId="77777777" w:rsidR="00AF6963" w:rsidRDefault="00AF6963">
      <w:pPr>
        <w:spacing w:after="0" w:line="480" w:lineRule="auto"/>
        <w:ind w:firstLine="720"/>
        <w:rPr>
          <w:rFonts w:ascii="Times New Roman" w:eastAsia="Times New Roman" w:hAnsi="Times New Roman" w:cs="Times New Roman"/>
          <w:sz w:val="24"/>
          <w:szCs w:val="24"/>
        </w:rPr>
      </w:pPr>
    </w:p>
    <w:p w14:paraId="162E75F2" w14:textId="77777777" w:rsidR="00AF6963" w:rsidRDefault="00AF6963">
      <w:pPr>
        <w:spacing w:after="0" w:line="480" w:lineRule="auto"/>
        <w:ind w:firstLine="720"/>
        <w:rPr>
          <w:rFonts w:ascii="Times New Roman" w:eastAsia="Times New Roman" w:hAnsi="Times New Roman" w:cs="Times New Roman"/>
          <w:sz w:val="24"/>
          <w:szCs w:val="24"/>
        </w:rPr>
      </w:pPr>
    </w:p>
    <w:p w14:paraId="0F6F80C9" w14:textId="77777777" w:rsidR="00AF6963" w:rsidRDefault="00AF6963">
      <w:pPr>
        <w:spacing w:after="0" w:line="480" w:lineRule="auto"/>
        <w:ind w:firstLine="720"/>
        <w:rPr>
          <w:rFonts w:ascii="Times New Roman" w:eastAsia="Times New Roman" w:hAnsi="Times New Roman" w:cs="Times New Roman"/>
          <w:sz w:val="24"/>
          <w:szCs w:val="24"/>
        </w:rPr>
      </w:pPr>
    </w:p>
    <w:p w14:paraId="43AC5784" w14:textId="77777777" w:rsidR="00AF6963" w:rsidRDefault="00AF6963">
      <w:pPr>
        <w:spacing w:after="0" w:line="480" w:lineRule="auto"/>
        <w:ind w:firstLine="720"/>
        <w:rPr>
          <w:rFonts w:ascii="Times New Roman" w:eastAsia="Times New Roman" w:hAnsi="Times New Roman" w:cs="Times New Roman"/>
          <w:sz w:val="24"/>
          <w:szCs w:val="24"/>
        </w:rPr>
      </w:pPr>
    </w:p>
    <w:p w14:paraId="45A63B25" w14:textId="77777777" w:rsidR="00AF6963" w:rsidRDefault="00AF6963">
      <w:pPr>
        <w:spacing w:after="0" w:line="480" w:lineRule="auto"/>
        <w:ind w:firstLine="720"/>
        <w:rPr>
          <w:rFonts w:ascii="Times New Roman" w:eastAsia="Times New Roman" w:hAnsi="Times New Roman" w:cs="Times New Roman"/>
          <w:sz w:val="24"/>
          <w:szCs w:val="24"/>
        </w:rPr>
      </w:pPr>
    </w:p>
    <w:p w14:paraId="1537CC44" w14:textId="77777777" w:rsidR="00AF6963" w:rsidRDefault="00AF6963">
      <w:pPr>
        <w:spacing w:after="0" w:line="480" w:lineRule="auto"/>
        <w:ind w:firstLine="720"/>
        <w:rPr>
          <w:rFonts w:ascii="Times New Roman" w:eastAsia="Times New Roman" w:hAnsi="Times New Roman" w:cs="Times New Roman"/>
          <w:sz w:val="24"/>
          <w:szCs w:val="24"/>
        </w:rPr>
      </w:pPr>
    </w:p>
    <w:p w14:paraId="18A40DAB" w14:textId="77777777" w:rsidR="00AF6963" w:rsidRDefault="00AF6963">
      <w:pPr>
        <w:spacing w:after="0" w:line="480" w:lineRule="auto"/>
        <w:rPr>
          <w:rFonts w:ascii="Times New Roman" w:eastAsia="Times New Roman" w:hAnsi="Times New Roman" w:cs="Times New Roman"/>
          <w:sz w:val="24"/>
          <w:szCs w:val="24"/>
        </w:rPr>
      </w:pPr>
    </w:p>
    <w:p w14:paraId="68AD1F1A" w14:textId="77777777" w:rsidR="00AF6963" w:rsidRDefault="00000000">
      <w:pPr>
        <w:spacing w:after="0" w:line="36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Fig. 2</w:t>
      </w:r>
    </w:p>
    <w:p w14:paraId="548F1B4F" w14:textId="77777777" w:rsidR="00AF6963" w:rsidRDefault="0000000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0"/>
          <w:szCs w:val="20"/>
        </w:rPr>
        <w:t>Pie chart representing proportion of total BRI-related spending in each category</w:t>
      </w:r>
      <w:r>
        <w:rPr>
          <w:noProof/>
        </w:rPr>
        <w:drawing>
          <wp:anchor distT="114300" distB="114300" distL="114300" distR="114300" simplePos="0" relativeHeight="251661312" behindDoc="0" locked="0" layoutInCell="1" hidden="0" allowOverlap="1" wp14:anchorId="380BFD65" wp14:editId="3F04ED40">
            <wp:simplePos x="0" y="0"/>
            <wp:positionH relativeFrom="column">
              <wp:posOffset>-42862</wp:posOffset>
            </wp:positionH>
            <wp:positionV relativeFrom="paragraph">
              <wp:posOffset>314325</wp:posOffset>
            </wp:positionV>
            <wp:extent cx="6032576" cy="3300431"/>
            <wp:effectExtent l="0" t="0" r="0" b="0"/>
            <wp:wrapSquare wrapText="bothSides" distT="114300" distB="114300" distL="114300" distR="11430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032576" cy="3300431"/>
                    </a:xfrm>
                    <a:prstGeom prst="rect">
                      <a:avLst/>
                    </a:prstGeom>
                    <a:ln/>
                  </pic:spPr>
                </pic:pic>
              </a:graphicData>
            </a:graphic>
          </wp:anchor>
        </w:drawing>
      </w:r>
    </w:p>
    <w:p w14:paraId="11179100"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this data, we can provide some preliminary answers to the research question. These findings show that the hypothesis that best explains the variance in Chinese BRI-related spending is the desire for East Asian dominance. While all the hypotheses have merit and do influence Chinese spending, the data indicates that Chinese spending is higher in East Asian Countries. As shown in the pie chart of the total spending in all 21 countries, East Asian countries account for 44% of that spending (see </w:t>
      </w:r>
      <w:r>
        <w:rPr>
          <w:rFonts w:ascii="Times New Roman" w:eastAsia="Times New Roman" w:hAnsi="Times New Roman" w:cs="Times New Roman"/>
          <w:b/>
          <w:bCs/>
          <w:sz w:val="24"/>
          <w:szCs w:val="24"/>
        </w:rPr>
        <w:t>Fig. 2</w:t>
      </w:r>
      <w:r>
        <w:rPr>
          <w:rFonts w:ascii="Times New Roman" w:eastAsia="Times New Roman" w:hAnsi="Times New Roman" w:cs="Times New Roman"/>
          <w:sz w:val="24"/>
          <w:szCs w:val="24"/>
        </w:rPr>
        <w:t xml:space="preserve">). The rest of the 56% was split evenly between the countries that provide natural resources and those that allow access to new markets. Furthermore, the bar graph shows that, from this sample, two of the top three recipient countries, Singapore and Indonesia, are East Asian countries (see </w:t>
      </w:r>
      <w:r>
        <w:rPr>
          <w:rFonts w:ascii="Times New Roman" w:eastAsia="Times New Roman" w:hAnsi="Times New Roman" w:cs="Times New Roman"/>
          <w:b/>
          <w:bCs/>
          <w:sz w:val="24"/>
          <w:szCs w:val="24"/>
        </w:rPr>
        <w:t>Fig. 1</w:t>
      </w:r>
      <w:r>
        <w:rPr>
          <w:rFonts w:ascii="Times New Roman" w:eastAsia="Times New Roman" w:hAnsi="Times New Roman" w:cs="Times New Roman"/>
          <w:sz w:val="24"/>
          <w:szCs w:val="24"/>
        </w:rPr>
        <w:t xml:space="preserve">). On the other hand, the bottom three least invested in countries in the sample do not include any East Asian countries (see </w:t>
      </w:r>
      <w:r>
        <w:rPr>
          <w:rFonts w:ascii="Times New Roman" w:eastAsia="Times New Roman" w:hAnsi="Times New Roman" w:cs="Times New Roman"/>
          <w:b/>
          <w:bCs/>
          <w:sz w:val="24"/>
          <w:szCs w:val="24"/>
        </w:rPr>
        <w:t>Fig. 1)</w:t>
      </w:r>
      <w:r>
        <w:rPr>
          <w:rFonts w:ascii="Times New Roman" w:eastAsia="Times New Roman" w:hAnsi="Times New Roman" w:cs="Times New Roman"/>
          <w:sz w:val="24"/>
          <w:szCs w:val="24"/>
        </w:rPr>
        <w:t xml:space="preserve">. In fact, the East Asian country with the lowest-ranked investment, Cambodia, still ranks ninth lowest overall (see </w:t>
      </w:r>
      <w:r>
        <w:rPr>
          <w:rFonts w:ascii="Times New Roman" w:eastAsia="Times New Roman" w:hAnsi="Times New Roman" w:cs="Times New Roman"/>
          <w:b/>
          <w:bCs/>
          <w:sz w:val="24"/>
          <w:szCs w:val="24"/>
        </w:rPr>
        <w:t>Fig.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Therefore, this research finds that China spends more on BRI investment and construction projects in East Asian countries. These findings most closely match </w:t>
      </w:r>
      <w:r>
        <w:rPr>
          <w:rFonts w:ascii="Times New Roman" w:eastAsia="Times New Roman" w:hAnsi="Times New Roman" w:cs="Times New Roman"/>
          <w:i/>
          <w:iCs/>
          <w:sz w:val="24"/>
          <w:szCs w:val="24"/>
        </w:rPr>
        <w:t>H2</w:t>
      </w:r>
      <w:r>
        <w:rPr>
          <w:rFonts w:ascii="Times New Roman" w:eastAsia="Times New Roman" w:hAnsi="Times New Roman" w:cs="Times New Roman"/>
          <w:sz w:val="24"/>
          <w:szCs w:val="24"/>
        </w:rPr>
        <w:t xml:space="preserve"> of the testable hypotheses. Thus, these findings cement the theory that East Asian dominance is a key objective for China.</w:t>
      </w:r>
    </w:p>
    <w:p w14:paraId="502264AC" w14:textId="77777777" w:rsidR="00AF6963" w:rsidRDefault="00AF6963">
      <w:pPr>
        <w:spacing w:after="0" w:line="479" w:lineRule="auto"/>
        <w:ind w:firstLine="720"/>
        <w:jc w:val="both"/>
        <w:rPr>
          <w:rFonts w:ascii="Times New Roman" w:eastAsia="Times New Roman" w:hAnsi="Times New Roman" w:cs="Times New Roman"/>
          <w:sz w:val="24"/>
          <w:szCs w:val="24"/>
        </w:rPr>
      </w:pPr>
    </w:p>
    <w:p w14:paraId="527CF2C0" w14:textId="77777777" w:rsidR="00AF6963" w:rsidRDefault="00000000">
      <w:pPr>
        <w:pStyle w:val="Subtitle"/>
        <w:spacing w:after="0" w:line="360" w:lineRule="auto"/>
        <w:jc w:val="both"/>
        <w:rPr>
          <w:rFonts w:ascii="Times New Roman" w:eastAsia="Times New Roman" w:hAnsi="Times New Roman" w:cs="Times New Roman"/>
        </w:rPr>
      </w:pPr>
      <w:bookmarkStart w:id="6" w:name="_vamhyshs46m" w:colFirst="0" w:colLast="0"/>
      <w:bookmarkEnd w:id="6"/>
      <w:r>
        <w:rPr>
          <w:rFonts w:ascii="Crimson Text" w:eastAsia="Crimson Text" w:hAnsi="Crimson Text" w:cs="Crimson Text"/>
          <w:b/>
          <w:bCs/>
          <w:sz w:val="40"/>
          <w:szCs w:val="40"/>
        </w:rPr>
        <w:t>Conclusion</w:t>
      </w:r>
    </w:p>
    <w:p w14:paraId="1E79888B"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BRI was initially launched to revitalize the Chinese economy by offloading industrial overcapacity, it has also facilitated greater economic integration between China and all the countries involved. Moreover, it has allowed China easier access to natural resources and new markets to sell its goods. This research shows that Chinese BRI-related spending is highest in East Asian countries, suggesting that the desire for East Asian dominance informs the variance of BRI projects in different countries.  These findings offer a preliminary answer to the question, </w:t>
      </w:r>
      <w:r>
        <w:rPr>
          <w:rFonts w:ascii="Times New Roman" w:eastAsia="Times New Roman" w:hAnsi="Times New Roman" w:cs="Times New Roman"/>
          <w:b/>
          <w:bCs/>
          <w:sz w:val="24"/>
          <w:szCs w:val="24"/>
        </w:rPr>
        <w:t>“Why does Chinese diplomacy surrounding the Belt and Road Initiative vary from country to country?”</w:t>
      </w:r>
      <w:r>
        <w:rPr>
          <w:rFonts w:ascii="Times New Roman" w:eastAsia="Times New Roman" w:hAnsi="Times New Roman" w:cs="Times New Roman"/>
          <w:sz w:val="24"/>
          <w:szCs w:val="24"/>
        </w:rPr>
        <w:t xml:space="preserve"> While insightful, the results are based on a relatively small sample of 21 countries. As such, they should be considered as a starting point for further investigation. More robust and comprehensive studies are needed to provide validity and extend these conclusions.</w:t>
      </w:r>
    </w:p>
    <w:p w14:paraId="3777F957"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Previous extensive research has refuted the idea that China is deliberately pursuing a strategy of “debt-trap diplomacy”. However, this study reveals that the BRI does have geostrategic motivations. The focus on East Asian countries found in this study shows that China’s geopolitical goals for the BRI extend beyond the cooperative objectives outlined in the Action Plan. These findings also reinforce how much China stands to gain from the BRI. While it is constructing infrastructure projects that a lot of the recipient countries need, it is also securing reliable, long-term access to natural resources, access to new markets, as well as building a foundation for its aims of East Asian dominance. These findings are also consequential considering the rising </w:t>
      </w:r>
      <w:r>
        <w:rPr>
          <w:rFonts w:ascii="Times New Roman" w:eastAsia="Times New Roman" w:hAnsi="Times New Roman" w:cs="Times New Roman"/>
          <w:sz w:val="24"/>
          <w:szCs w:val="24"/>
        </w:rPr>
        <w:lastRenderedPageBreak/>
        <w:t>tensions over Taiwan as East Asian dominance will be a geopolitical advantage in achieving their goals regarding Taiwan’s status.</w:t>
      </w:r>
    </w:p>
    <w:p w14:paraId="10A544F7" w14:textId="77777777" w:rsidR="00AF6963"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on the BRI is important because of the implications the initiative has for the international world order. The BRI represents more than a collection of infrastructure projects; it marks an expansion of Chinese influence to the world. It signals that the Chinese Communist Party (CCP) is increasingly more willing to adopt an active and critical role in shaping the world order. Through this, Beijing is changing the international geopolitical landscape from one historically centered around the US and its Western allies, to one in which China plays a far more formidable role. With China’s long-term goal of East Asian dominance in mind, only time will tell how momentous the BRI is for the future of Asia and the future of the world.</w:t>
      </w:r>
    </w:p>
    <w:p w14:paraId="2F5380B6" w14:textId="77777777" w:rsidR="00AF6963" w:rsidRDefault="00AF6963">
      <w:pPr>
        <w:spacing w:after="160" w:line="479" w:lineRule="auto"/>
        <w:ind w:firstLine="720"/>
        <w:jc w:val="both"/>
        <w:rPr>
          <w:rFonts w:ascii="Times New Roman" w:eastAsia="Times New Roman" w:hAnsi="Times New Roman" w:cs="Times New Roman"/>
          <w:sz w:val="24"/>
          <w:szCs w:val="24"/>
        </w:rPr>
      </w:pPr>
    </w:p>
    <w:p w14:paraId="317D9CCF" w14:textId="77777777" w:rsidR="00AF6963" w:rsidRDefault="00AF6963">
      <w:pPr>
        <w:spacing w:after="0" w:line="480" w:lineRule="auto"/>
        <w:ind w:firstLine="720"/>
        <w:rPr>
          <w:rFonts w:ascii="Times New Roman" w:eastAsia="Times New Roman" w:hAnsi="Times New Roman" w:cs="Times New Roman"/>
          <w:b/>
          <w:bCs/>
          <w:sz w:val="24"/>
          <w:szCs w:val="24"/>
        </w:rPr>
      </w:pPr>
    </w:p>
    <w:p w14:paraId="3AF5911C" w14:textId="77777777" w:rsidR="00AF6963" w:rsidRDefault="00AF6963">
      <w:pPr>
        <w:spacing w:after="0" w:line="480" w:lineRule="auto"/>
        <w:ind w:firstLine="720"/>
        <w:jc w:val="both"/>
        <w:rPr>
          <w:rFonts w:ascii="Times New Roman" w:eastAsia="Times New Roman" w:hAnsi="Times New Roman" w:cs="Times New Roman"/>
          <w:sz w:val="24"/>
          <w:szCs w:val="24"/>
        </w:rPr>
      </w:pPr>
    </w:p>
    <w:p w14:paraId="79CCA5D3" w14:textId="77777777" w:rsidR="00AF6963" w:rsidRDefault="00AF6963">
      <w:pPr>
        <w:spacing w:after="0" w:line="480" w:lineRule="auto"/>
        <w:jc w:val="both"/>
        <w:rPr>
          <w:rFonts w:ascii="Times New Roman" w:eastAsia="Times New Roman" w:hAnsi="Times New Roman" w:cs="Times New Roman"/>
          <w:sz w:val="24"/>
          <w:szCs w:val="24"/>
        </w:rPr>
      </w:pPr>
    </w:p>
    <w:p w14:paraId="3B029ADF" w14:textId="77777777" w:rsidR="00AF6963" w:rsidRDefault="00AF6963">
      <w:pPr>
        <w:spacing w:after="0" w:line="480" w:lineRule="auto"/>
        <w:jc w:val="both"/>
        <w:rPr>
          <w:rFonts w:ascii="Times New Roman" w:eastAsia="Times New Roman" w:hAnsi="Times New Roman" w:cs="Times New Roman"/>
          <w:sz w:val="24"/>
          <w:szCs w:val="24"/>
        </w:rPr>
      </w:pPr>
    </w:p>
    <w:p w14:paraId="6DFC2338" w14:textId="77777777" w:rsidR="00AF6963" w:rsidRDefault="00AF6963">
      <w:pPr>
        <w:spacing w:after="0" w:line="480" w:lineRule="auto"/>
        <w:jc w:val="both"/>
        <w:rPr>
          <w:rFonts w:ascii="Times New Roman" w:eastAsia="Times New Roman" w:hAnsi="Times New Roman" w:cs="Times New Roman"/>
          <w:sz w:val="24"/>
          <w:szCs w:val="24"/>
        </w:rPr>
      </w:pPr>
    </w:p>
    <w:p w14:paraId="7CDFFCBF" w14:textId="77777777" w:rsidR="00AF6963" w:rsidRDefault="00AF6963">
      <w:pPr>
        <w:spacing w:after="0" w:line="480" w:lineRule="auto"/>
        <w:jc w:val="both"/>
        <w:rPr>
          <w:rFonts w:ascii="Times New Roman" w:eastAsia="Times New Roman" w:hAnsi="Times New Roman" w:cs="Times New Roman"/>
          <w:sz w:val="24"/>
          <w:szCs w:val="24"/>
        </w:rPr>
      </w:pPr>
    </w:p>
    <w:p w14:paraId="37F030AF" w14:textId="77777777" w:rsidR="00AF6963" w:rsidRDefault="00AF6963">
      <w:pPr>
        <w:spacing w:after="0" w:line="480" w:lineRule="auto"/>
        <w:jc w:val="both"/>
        <w:rPr>
          <w:rFonts w:ascii="Times New Roman" w:eastAsia="Times New Roman" w:hAnsi="Times New Roman" w:cs="Times New Roman"/>
          <w:sz w:val="24"/>
          <w:szCs w:val="24"/>
        </w:rPr>
      </w:pPr>
    </w:p>
    <w:p w14:paraId="148888D0" w14:textId="77777777" w:rsidR="00AF6963" w:rsidRDefault="00AF6963">
      <w:pPr>
        <w:spacing w:after="0" w:line="480" w:lineRule="auto"/>
        <w:jc w:val="both"/>
        <w:rPr>
          <w:rFonts w:ascii="Times New Roman" w:eastAsia="Times New Roman" w:hAnsi="Times New Roman" w:cs="Times New Roman"/>
          <w:sz w:val="24"/>
          <w:szCs w:val="24"/>
        </w:rPr>
      </w:pPr>
    </w:p>
    <w:p w14:paraId="54F541DE" w14:textId="77777777" w:rsidR="00AF6963" w:rsidRDefault="00AF6963">
      <w:pPr>
        <w:spacing w:after="0" w:line="480" w:lineRule="auto"/>
        <w:jc w:val="both"/>
        <w:rPr>
          <w:rFonts w:ascii="Times New Roman" w:eastAsia="Times New Roman" w:hAnsi="Times New Roman" w:cs="Times New Roman"/>
          <w:sz w:val="24"/>
          <w:szCs w:val="24"/>
        </w:rPr>
      </w:pPr>
    </w:p>
    <w:p w14:paraId="5FECC53A" w14:textId="77777777" w:rsidR="00AF6963" w:rsidRDefault="00AF6963"/>
    <w:p w14:paraId="19572B46" w14:textId="77777777" w:rsidR="00AF6963" w:rsidRDefault="00AF6963">
      <w:pPr>
        <w:rPr>
          <w:rFonts w:ascii="Times New Roman" w:eastAsia="Times New Roman" w:hAnsi="Times New Roman" w:cs="Times New Roman"/>
          <w:sz w:val="24"/>
          <w:szCs w:val="24"/>
        </w:rPr>
      </w:pPr>
    </w:p>
    <w:p w14:paraId="4023D0CE" w14:textId="77777777" w:rsidR="00AF6963" w:rsidRDefault="00000000">
      <w:pPr>
        <w:pStyle w:val="Heading3"/>
        <w:jc w:val="center"/>
        <w:rPr>
          <w:color w:val="7A0808"/>
        </w:rPr>
      </w:pPr>
      <w:r>
        <w:rPr>
          <w:color w:val="7A0808"/>
        </w:rPr>
        <w:lastRenderedPageBreak/>
        <w:t>BIBLIOGRAPHY</w:t>
      </w:r>
    </w:p>
    <w:p w14:paraId="390E4767"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Acker, Kevin, Deborah Brautigam and Yufan Huang. “Debt Relief with Chinese Characteristics” Working Paper No. 2020/39. China Africa Research Initiative, School of Advanced International Studies, Johns Hopkins University, Washington, DC. Retrieved from</w:t>
      </w:r>
      <w:hyperlink r:id="rId11">
        <w:r>
          <w:rPr>
            <w:rFonts w:ascii="Times New Roman" w:eastAsia="Times New Roman" w:hAnsi="Times New Roman" w:cs="Times New Roman"/>
            <w:sz w:val="24"/>
            <w:szCs w:val="24"/>
          </w:rPr>
          <w:t xml:space="preserve"> </w:t>
        </w:r>
      </w:hyperlink>
      <w:hyperlink r:id="rId12">
        <w:r>
          <w:rPr>
            <w:rFonts w:ascii="Times New Roman" w:eastAsia="Times New Roman" w:hAnsi="Times New Roman" w:cs="Times New Roman"/>
            <w:color w:val="467886"/>
            <w:sz w:val="24"/>
            <w:szCs w:val="24"/>
            <w:u w:val="single"/>
          </w:rPr>
          <w:t>http://www.sais-cari.org/publications</w:t>
        </w:r>
      </w:hyperlink>
      <w:r>
        <w:rPr>
          <w:rFonts w:ascii="Times New Roman" w:eastAsia="Times New Roman" w:hAnsi="Times New Roman" w:cs="Times New Roman"/>
          <w:sz w:val="24"/>
          <w:szCs w:val="24"/>
        </w:rPr>
        <w:t>.</w:t>
      </w:r>
    </w:p>
    <w:p w14:paraId="73D608B7" w14:textId="77777777" w:rsidR="00AF6963"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Ahmad, Tariq, Author, Laney Zhang, Nicolas Boring, George Sadek, Hanibal Goitom, Sayuri Umeda, Kelly Buchanan, et al. </w:t>
      </w:r>
      <w:r>
        <w:rPr>
          <w:rFonts w:ascii="Times New Roman" w:eastAsia="Times New Roman" w:hAnsi="Times New Roman" w:cs="Times New Roman"/>
          <w:i/>
          <w:iCs/>
          <w:sz w:val="24"/>
          <w:szCs w:val="24"/>
          <w:highlight w:val="white"/>
        </w:rPr>
        <w:t>Belt and Road Initiative: China, Cambodia, Caribbean Countries, Djibouti, Egypt, Greece, Kenya, Luxembourg, Malaysia, Pakistan, Philippines, Portugal, Russian Federation and Central Asian Countries, South America, Sweden, Switzerland, United Kingdom. Washington, D.C</w:t>
      </w:r>
      <w:r>
        <w:rPr>
          <w:rFonts w:ascii="Times New Roman" w:eastAsia="Times New Roman" w:hAnsi="Times New Roman" w:cs="Times New Roman"/>
          <w:sz w:val="24"/>
          <w:szCs w:val="24"/>
          <w:highlight w:val="white"/>
        </w:rPr>
        <w:t>.: The Law Library of Congress, Global Legal Research Directorate, August, 2021. Pdf.</w:t>
      </w:r>
      <w:hyperlink r:id="rId13">
        <w:r>
          <w:rPr>
            <w:rFonts w:ascii="Times New Roman" w:eastAsia="Times New Roman" w:hAnsi="Times New Roman" w:cs="Times New Roman"/>
            <w:sz w:val="24"/>
            <w:szCs w:val="24"/>
            <w:highlight w:val="white"/>
          </w:rPr>
          <w:t xml:space="preserve"> </w:t>
        </w:r>
      </w:hyperlink>
      <w:hyperlink r:id="rId14">
        <w:r>
          <w:rPr>
            <w:rFonts w:ascii="Times New Roman" w:eastAsia="Times New Roman" w:hAnsi="Times New Roman" w:cs="Times New Roman"/>
            <w:color w:val="467886"/>
            <w:sz w:val="24"/>
            <w:szCs w:val="24"/>
            <w:highlight w:val="white"/>
            <w:u w:val="single"/>
          </w:rPr>
          <w:t>https://www.loc.gov/item/2021687414/</w:t>
        </w:r>
      </w:hyperlink>
      <w:r>
        <w:rPr>
          <w:rFonts w:ascii="Times New Roman" w:eastAsia="Times New Roman" w:hAnsi="Times New Roman" w:cs="Times New Roman"/>
          <w:sz w:val="24"/>
          <w:szCs w:val="24"/>
          <w:highlight w:val="white"/>
        </w:rPr>
        <w:t>.</w:t>
      </w:r>
    </w:p>
    <w:p w14:paraId="75194D90" w14:textId="77777777" w:rsidR="00AF6963"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Anh, Dang Viet, and Nguyen Le Quynh Chi. “Cdr – the Belt and Road Initiative: Vietnam: ICLG.” Arbitration, Litigation, Dispute Resolution | CDR Magazine. Global Legal Group. Accessed December 13, 2022.</w:t>
      </w:r>
      <w:hyperlink r:id="rId15" w:anchor=":~:text=The%20remarkable%20BRI%20projects%20in,capital%20of%20USD%202.16%20billion">
        <w:r>
          <w:rPr>
            <w:rFonts w:ascii="Times New Roman" w:eastAsia="Times New Roman" w:hAnsi="Times New Roman" w:cs="Times New Roman"/>
            <w:sz w:val="24"/>
            <w:szCs w:val="24"/>
            <w:highlight w:val="white"/>
          </w:rPr>
          <w:t xml:space="preserve"> </w:t>
        </w:r>
      </w:hyperlink>
      <w:hyperlink r:id="rId16" w:anchor=":~:text=The%20remarkable%20BRI%20projects%20in,capital%20of%20USD%202.16%20billion">
        <w:r>
          <w:rPr>
            <w:rFonts w:ascii="Times New Roman" w:eastAsia="Times New Roman" w:hAnsi="Times New Roman" w:cs="Times New Roman"/>
            <w:color w:val="467886"/>
            <w:sz w:val="24"/>
            <w:szCs w:val="24"/>
            <w:highlight w:val="white"/>
            <w:u w:val="single"/>
          </w:rPr>
          <w:t>https://iclg.com/cdr-essential-intelligence/1100-cdr-the-belt-and-road-initiative-2021/vietnam#:~:text=The%20remarkable%20BRI%20projects%20in,capital%20of%20USD%202.16%20billion</w:t>
        </w:r>
      </w:hyperlink>
      <w:r>
        <w:rPr>
          <w:rFonts w:ascii="Times New Roman" w:eastAsia="Times New Roman" w:hAnsi="Times New Roman" w:cs="Times New Roman"/>
          <w:sz w:val="24"/>
          <w:szCs w:val="24"/>
          <w:highlight w:val="white"/>
        </w:rPr>
        <w:t>.</w:t>
      </w:r>
    </w:p>
    <w:p w14:paraId="66C17B88" w14:textId="77777777" w:rsidR="00AF6963"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Berger, H. Blake and Russel, Daniel R. “Weaponizing the Belt and Road Initiative” Asia Society, September 2020.</w:t>
      </w:r>
      <w:hyperlink r:id="rId17">
        <w:r>
          <w:rPr>
            <w:rFonts w:ascii="Times New Roman" w:eastAsia="Times New Roman" w:hAnsi="Times New Roman" w:cs="Times New Roman"/>
            <w:sz w:val="24"/>
            <w:szCs w:val="24"/>
            <w:highlight w:val="white"/>
          </w:rPr>
          <w:t xml:space="preserve"> </w:t>
        </w:r>
      </w:hyperlink>
      <w:hyperlink r:id="rId18">
        <w:r>
          <w:rPr>
            <w:rFonts w:ascii="Times New Roman" w:eastAsia="Times New Roman" w:hAnsi="Times New Roman" w:cs="Times New Roman"/>
            <w:color w:val="467886"/>
            <w:sz w:val="24"/>
            <w:szCs w:val="24"/>
            <w:highlight w:val="white"/>
            <w:u w:val="single"/>
          </w:rPr>
          <w:t>https://asiasociety.org/policy-institute/weaponizing-belt-and-road-initiative</w:t>
        </w:r>
      </w:hyperlink>
      <w:r>
        <w:rPr>
          <w:rFonts w:ascii="Times New Roman" w:eastAsia="Times New Roman" w:hAnsi="Times New Roman" w:cs="Times New Roman"/>
          <w:sz w:val="24"/>
          <w:szCs w:val="24"/>
          <w:highlight w:val="white"/>
        </w:rPr>
        <w:t>.</w:t>
      </w:r>
    </w:p>
    <w:p w14:paraId="27ACF1BD" w14:textId="77777777" w:rsidR="00AF6963"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Carrai, Maria Adele. "China's Malleable Sovereignty along the Belt and Road Initiative: The Case of the 99-Year Chinese Lease of Hambantota Port," </w:t>
      </w:r>
      <w:r>
        <w:rPr>
          <w:rFonts w:ascii="Times New Roman" w:eastAsia="Times New Roman" w:hAnsi="Times New Roman" w:cs="Times New Roman"/>
          <w:i/>
          <w:iCs/>
          <w:sz w:val="24"/>
          <w:szCs w:val="24"/>
          <w:highlight w:val="white"/>
        </w:rPr>
        <w:t xml:space="preserve">New York University Journal of </w:t>
      </w:r>
      <w:r>
        <w:rPr>
          <w:rFonts w:ascii="Times New Roman" w:eastAsia="Times New Roman" w:hAnsi="Times New Roman" w:cs="Times New Roman"/>
          <w:i/>
          <w:iCs/>
          <w:sz w:val="24"/>
          <w:szCs w:val="24"/>
          <w:highlight w:val="white"/>
        </w:rPr>
        <w:lastRenderedPageBreak/>
        <w:t>International Law and Politics</w:t>
      </w:r>
      <w:r>
        <w:rPr>
          <w:rFonts w:ascii="Times New Roman" w:eastAsia="Times New Roman" w:hAnsi="Times New Roman" w:cs="Times New Roman"/>
          <w:sz w:val="24"/>
          <w:szCs w:val="24"/>
          <w:highlight w:val="white"/>
        </w:rPr>
        <w:t xml:space="preserve"> 51,no. 4 (2019): 1061-1100.</w:t>
      </w:r>
    </w:p>
    <w:p w14:paraId="30C2B7A1" w14:textId="77777777" w:rsidR="00AF6963"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Chheang, Vannarith. “2021/99 ‘BRI Projects in Cambodia and Laos Roll on despite Covid-19’ .” ISEAS, July 27, 2021.</w:t>
      </w:r>
      <w:hyperlink r:id="rId19" w:anchor=":~:text=MAIN%20BRI%20PROJECTS%20IN%20LAOS&amp;text=The%20Sino%2DLao%20and%20Sino,construct%2C%20connecting%20Kunming%20with%20Singapore">
        <w:r>
          <w:rPr>
            <w:rFonts w:ascii="Times New Roman" w:eastAsia="Times New Roman" w:hAnsi="Times New Roman" w:cs="Times New Roman"/>
            <w:sz w:val="24"/>
            <w:szCs w:val="24"/>
            <w:highlight w:val="white"/>
          </w:rPr>
          <w:t xml:space="preserve"> </w:t>
        </w:r>
      </w:hyperlink>
      <w:hyperlink r:id="rId20" w:anchor=":~:text=MAIN%20BRI%20PROJECTS%20IN%20LAOS&amp;text=The%20Sino%2DLao%20and%20Sino,construct%2C%20connecting%20Kunming%20with%20Singapore">
        <w:r>
          <w:rPr>
            <w:rFonts w:ascii="Times New Roman" w:eastAsia="Times New Roman" w:hAnsi="Times New Roman" w:cs="Times New Roman"/>
            <w:color w:val="467886"/>
            <w:sz w:val="24"/>
            <w:szCs w:val="24"/>
            <w:highlight w:val="white"/>
            <w:u w:val="single"/>
          </w:rPr>
          <w:t>https://www.iseas.edu.sg/articles-commentaries/iseas-perspective/2021-99-bri-projects-in-cambodia-and-laos-roll-on-despite-covid-19-by-vannarith-chheang/#:~:text=MAIN%20BRI%20PROJECTS%20IN%20LAOS&amp;text=The%20Sino%2DLao%20and%20Sino,construct%2C%20connecting%20Kunming%20with%20Singapore</w:t>
        </w:r>
      </w:hyperlink>
    </w:p>
    <w:p w14:paraId="390B5868" w14:textId="77777777" w:rsidR="00AF6963" w:rsidRDefault="00000000">
      <w:pPr>
        <w:widowControl w:val="0"/>
        <w:spacing w:after="0" w:line="480" w:lineRule="auto"/>
        <w:ind w:left="720" w:right="25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Devonshire-Ellis, Chris. “Algeria to Coordinate National Development Plans with China's Belt and Road Initiative.” Silk Road Briefing, July 27, 2021.</w:t>
      </w:r>
      <w:hyperlink r:id="rId21">
        <w:r>
          <w:rPr>
            <w:rFonts w:ascii="Times New Roman" w:eastAsia="Times New Roman" w:hAnsi="Times New Roman" w:cs="Times New Roman"/>
            <w:sz w:val="24"/>
            <w:szCs w:val="24"/>
          </w:rPr>
          <w:t xml:space="preserve"> </w:t>
        </w:r>
      </w:hyperlink>
      <w:hyperlink r:id="rId22">
        <w:r>
          <w:rPr>
            <w:rFonts w:ascii="Times New Roman" w:eastAsia="Times New Roman" w:hAnsi="Times New Roman" w:cs="Times New Roman"/>
            <w:color w:val="467886"/>
            <w:sz w:val="24"/>
            <w:szCs w:val="24"/>
            <w:u w:val="single"/>
          </w:rPr>
          <w:t>https://www.silkroadbriefing.com/news/2021/07/27/algeria-to-coordinate-national-development-plans-with-chinas-belt-and-road-initiative/</w:t>
        </w:r>
      </w:hyperlink>
    </w:p>
    <w:p w14:paraId="034B5B1C" w14:textId="77777777" w:rsidR="00AF6963" w:rsidRDefault="00000000">
      <w:pPr>
        <w:widowControl w:val="0"/>
        <w:spacing w:after="0" w:line="480" w:lineRule="auto"/>
        <w:ind w:left="720" w:right="25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 Michael M. "China's "One Belt, One Road" Initiative: Context, Focus, Institutions, and Implications." </w:t>
      </w:r>
      <w:r>
        <w:rPr>
          <w:rFonts w:ascii="Times New Roman" w:eastAsia="Times New Roman" w:hAnsi="Times New Roman" w:cs="Times New Roman"/>
          <w:i/>
          <w:iCs/>
          <w:sz w:val="24"/>
          <w:szCs w:val="24"/>
        </w:rPr>
        <w:t>The Chinese Journal of Global Governance</w:t>
      </w:r>
      <w:r>
        <w:rPr>
          <w:rFonts w:ascii="Times New Roman" w:eastAsia="Times New Roman" w:hAnsi="Times New Roman" w:cs="Times New Roman"/>
          <w:sz w:val="24"/>
          <w:szCs w:val="24"/>
        </w:rPr>
        <w:t xml:space="preserve"> 2, no. 1 (2016): 30-43</w:t>
      </w:r>
    </w:p>
    <w:p w14:paraId="7CF30607" w14:textId="77777777" w:rsidR="00AF6963" w:rsidRDefault="00000000">
      <w:pPr>
        <w:widowControl w:val="0"/>
        <w:spacing w:after="0" w:line="480" w:lineRule="auto"/>
        <w:ind w:left="720" w:right="25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Embassy of China. “Latest Progress on the CPEC.” Latest progress on the CPEC. Accessed December 13, 2022.</w:t>
      </w:r>
      <w:hyperlink r:id="rId23">
        <w:r>
          <w:rPr>
            <w:rFonts w:ascii="Times New Roman" w:eastAsia="Times New Roman" w:hAnsi="Times New Roman" w:cs="Times New Roman"/>
            <w:sz w:val="24"/>
            <w:szCs w:val="24"/>
          </w:rPr>
          <w:t xml:space="preserve"> </w:t>
        </w:r>
      </w:hyperlink>
      <w:hyperlink r:id="rId24">
        <w:r>
          <w:rPr>
            <w:rFonts w:ascii="Times New Roman" w:eastAsia="Times New Roman" w:hAnsi="Times New Roman" w:cs="Times New Roman"/>
            <w:color w:val="467886"/>
            <w:sz w:val="24"/>
            <w:szCs w:val="24"/>
            <w:u w:val="single"/>
          </w:rPr>
          <w:t>http://pk.china-embassy.gov.cn/eng/zbgx/201812/t20181230_1134724.htm</w:t>
        </w:r>
      </w:hyperlink>
      <w:r>
        <w:rPr>
          <w:rFonts w:ascii="Times New Roman" w:eastAsia="Times New Roman" w:hAnsi="Times New Roman" w:cs="Times New Roman"/>
          <w:sz w:val="24"/>
          <w:szCs w:val="24"/>
        </w:rPr>
        <w:t>.</w:t>
      </w:r>
    </w:p>
    <w:p w14:paraId="123B37FA"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Hanks, Joshua. “Bolivia, Lithium and China's BRI.” Workers World, January 1, 2020. https://www.workers.org/2019/11/44493/#:~:text=It%27s%20intended%20as%20an%20outlet,grip%20of%20Washington%20and%20Brussels. '.</w:t>
      </w:r>
    </w:p>
    <w:p w14:paraId="04DF3EC7"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Han, Yang. “UAE Project Progresses under BRI.” China Daily, January 2022.</w:t>
      </w:r>
      <w:hyperlink r:id="rId25">
        <w:r>
          <w:rPr>
            <w:rFonts w:ascii="Times New Roman" w:eastAsia="Times New Roman" w:hAnsi="Times New Roman" w:cs="Times New Roman"/>
            <w:sz w:val="24"/>
            <w:szCs w:val="24"/>
          </w:rPr>
          <w:t xml:space="preserve"> </w:t>
        </w:r>
      </w:hyperlink>
      <w:hyperlink r:id="rId26">
        <w:r>
          <w:rPr>
            <w:rFonts w:ascii="Times New Roman" w:eastAsia="Times New Roman" w:hAnsi="Times New Roman" w:cs="Times New Roman"/>
            <w:color w:val="467886"/>
            <w:sz w:val="24"/>
            <w:szCs w:val="24"/>
            <w:u w:val="single"/>
          </w:rPr>
          <w:t>https://www.chinadailyhk.com/article/256991</w:t>
        </w:r>
      </w:hyperlink>
      <w:r>
        <w:rPr>
          <w:rFonts w:ascii="Times New Roman" w:eastAsia="Times New Roman" w:hAnsi="Times New Roman" w:cs="Times New Roman"/>
          <w:sz w:val="24"/>
          <w:szCs w:val="24"/>
        </w:rPr>
        <w:t xml:space="preserve">. </w:t>
      </w:r>
    </w:p>
    <w:p w14:paraId="0377FA50"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He, Wenping. “Opinion: Bri Injects New Energy into China-Angola Cooperation.” CGTN, 2018.</w:t>
      </w:r>
      <w:hyperlink r:id="rId27">
        <w:r>
          <w:rPr>
            <w:rFonts w:ascii="Times New Roman" w:eastAsia="Times New Roman" w:hAnsi="Times New Roman" w:cs="Times New Roman"/>
            <w:sz w:val="24"/>
            <w:szCs w:val="24"/>
          </w:rPr>
          <w:t xml:space="preserve"> </w:t>
        </w:r>
      </w:hyperlink>
      <w:hyperlink r:id="rId28">
        <w:r>
          <w:rPr>
            <w:rFonts w:ascii="Times New Roman" w:eastAsia="Times New Roman" w:hAnsi="Times New Roman" w:cs="Times New Roman"/>
            <w:color w:val="467886"/>
            <w:sz w:val="24"/>
            <w:szCs w:val="24"/>
            <w:u w:val="single"/>
          </w:rPr>
          <w:t>https://news.cgtn.com/news/3d3d514f77557a4e7a457a6333566d54/share_p.html</w:t>
        </w:r>
      </w:hyperlink>
      <w:r>
        <w:rPr>
          <w:rFonts w:ascii="Times New Roman" w:eastAsia="Times New Roman" w:hAnsi="Times New Roman" w:cs="Times New Roman"/>
          <w:sz w:val="24"/>
          <w:szCs w:val="24"/>
        </w:rPr>
        <w:t>.</w:t>
      </w:r>
    </w:p>
    <w:p w14:paraId="2CCA945F"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Jones, Lee, and Shahar Hameiri. “Debunking the Myth of 'Debt-Trap Diplomacy'.” Chatham House – International Affairs Think Tank, December 14, 2020.</w:t>
      </w:r>
      <w:hyperlink r:id="rId29">
        <w:r>
          <w:rPr>
            <w:rFonts w:ascii="Times New Roman" w:eastAsia="Times New Roman" w:hAnsi="Times New Roman" w:cs="Times New Roman"/>
            <w:sz w:val="24"/>
            <w:szCs w:val="24"/>
          </w:rPr>
          <w:t xml:space="preserve"> </w:t>
        </w:r>
      </w:hyperlink>
      <w:hyperlink r:id="rId30">
        <w:r>
          <w:rPr>
            <w:rFonts w:ascii="Times New Roman" w:eastAsia="Times New Roman" w:hAnsi="Times New Roman" w:cs="Times New Roman"/>
            <w:color w:val="467886"/>
            <w:sz w:val="24"/>
            <w:szCs w:val="24"/>
            <w:u w:val="single"/>
          </w:rPr>
          <w:t>https://www.chathamhouse.org/2020/08/debunking-myth-debt-trap-diplomacy</w:t>
        </w:r>
      </w:hyperlink>
      <w:r>
        <w:rPr>
          <w:rFonts w:ascii="Times New Roman" w:eastAsia="Times New Roman" w:hAnsi="Times New Roman" w:cs="Times New Roman"/>
          <w:sz w:val="24"/>
          <w:szCs w:val="24"/>
        </w:rPr>
        <w:t>.</w:t>
      </w:r>
    </w:p>
    <w:p w14:paraId="72AADB06"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McBeth, John. “China's Belt and Road Staggers and Stalls in Indonesia.” Asia Times. Asia Times, September 17, 2022.</w:t>
      </w:r>
      <w:hyperlink r:id="rId31">
        <w:r>
          <w:rPr>
            <w:rFonts w:ascii="Times New Roman" w:eastAsia="Times New Roman" w:hAnsi="Times New Roman" w:cs="Times New Roman"/>
            <w:sz w:val="24"/>
            <w:szCs w:val="24"/>
          </w:rPr>
          <w:t xml:space="preserve"> </w:t>
        </w:r>
      </w:hyperlink>
      <w:hyperlink r:id="rId32">
        <w:r>
          <w:rPr>
            <w:rFonts w:ascii="Times New Roman" w:eastAsia="Times New Roman" w:hAnsi="Times New Roman" w:cs="Times New Roman"/>
            <w:color w:val="467886"/>
            <w:sz w:val="24"/>
            <w:szCs w:val="24"/>
            <w:u w:val="single"/>
          </w:rPr>
          <w:t>https://asiatimes.com/2022/07/chinas-belt-and-road-staggers-and-stalls-in-indonesia/</w:t>
        </w:r>
      </w:hyperlink>
      <w:r>
        <w:rPr>
          <w:rFonts w:ascii="Times New Roman" w:eastAsia="Times New Roman" w:hAnsi="Times New Roman" w:cs="Times New Roman"/>
          <w:sz w:val="24"/>
          <w:szCs w:val="24"/>
        </w:rPr>
        <w:t>.</w:t>
      </w:r>
    </w:p>
    <w:p w14:paraId="1FA15F35"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Mearsheimer, John. “China's Unpeaceful Rise,” </w:t>
      </w:r>
      <w:r>
        <w:rPr>
          <w:rFonts w:ascii="Times New Roman" w:eastAsia="Times New Roman" w:hAnsi="Times New Roman" w:cs="Times New Roman"/>
          <w:i/>
          <w:iCs/>
          <w:sz w:val="24"/>
          <w:szCs w:val="24"/>
        </w:rPr>
        <w:t>Current History</w:t>
      </w:r>
      <w:r>
        <w:rPr>
          <w:rFonts w:ascii="Times New Roman" w:eastAsia="Times New Roman" w:hAnsi="Times New Roman" w:cs="Times New Roman"/>
          <w:sz w:val="24"/>
          <w:szCs w:val="24"/>
        </w:rPr>
        <w:t xml:space="preserve"> 105, no. 690 (2006): 160-162.</w:t>
      </w:r>
    </w:p>
    <w:p w14:paraId="0CCE28A2" w14:textId="77777777" w:rsidR="00AF6963" w:rsidRDefault="00000000">
      <w:pPr>
        <w:widowControl w:val="0"/>
        <w:spacing w:after="0" w:line="480" w:lineRule="auto"/>
        <w:ind w:left="720" w:hanging="720"/>
        <w:rPr>
          <w:rFonts w:ascii="Times New Roman" w:eastAsia="Times New Roman" w:hAnsi="Times New Roman" w:cs="Times New Roman"/>
          <w:color w:val="7F7F7F"/>
          <w:sz w:val="24"/>
          <w:szCs w:val="24"/>
          <w:highlight w:val="white"/>
        </w:rPr>
      </w:pPr>
      <w:r>
        <w:rPr>
          <w:rFonts w:ascii="Times New Roman" w:eastAsia="Times New Roman" w:hAnsi="Times New Roman" w:cs="Times New Roman"/>
          <w:sz w:val="24"/>
          <w:szCs w:val="24"/>
          <w:highlight w:val="white"/>
        </w:rPr>
        <w:t xml:space="preserve">OECD. "The Belt and Road Initiative in the global trade, investment and finance landscape", </w:t>
      </w:r>
      <w:r>
        <w:rPr>
          <w:rFonts w:ascii="Times New Roman" w:eastAsia="Times New Roman" w:hAnsi="Times New Roman" w:cs="Times New Roman"/>
          <w:i/>
          <w:iCs/>
          <w:sz w:val="24"/>
          <w:szCs w:val="24"/>
          <w:highlight w:val="white"/>
        </w:rPr>
        <w:t>OECD Business and Finance Outlook 2018</w:t>
      </w:r>
      <w:r>
        <w:rPr>
          <w:rFonts w:ascii="Times New Roman" w:eastAsia="Times New Roman" w:hAnsi="Times New Roman" w:cs="Times New Roman"/>
          <w:sz w:val="24"/>
          <w:szCs w:val="24"/>
          <w:highlight w:val="white"/>
        </w:rPr>
        <w:t xml:space="preserve">, OECD Publishing, Paris, September 2018. </w:t>
      </w:r>
      <w:hyperlink r:id="rId33">
        <w:r>
          <w:rPr>
            <w:rFonts w:ascii="Times New Roman" w:eastAsia="Times New Roman" w:hAnsi="Times New Roman" w:cs="Times New Roman"/>
            <w:color w:val="0068B6"/>
            <w:sz w:val="24"/>
            <w:szCs w:val="24"/>
            <w:highlight w:val="white"/>
            <w:u w:val="single"/>
          </w:rPr>
          <w:t>https://doi.org/10.1787/bus_fin_out-2018-6-en</w:t>
        </w:r>
      </w:hyperlink>
      <w:r>
        <w:rPr>
          <w:rFonts w:ascii="Times New Roman" w:eastAsia="Times New Roman" w:hAnsi="Times New Roman" w:cs="Times New Roman"/>
          <w:color w:val="7F7F7F"/>
          <w:sz w:val="24"/>
          <w:szCs w:val="24"/>
          <w:highlight w:val="white"/>
        </w:rPr>
        <w:t>.</w:t>
      </w:r>
    </w:p>
    <w:p w14:paraId="5BF9810D" w14:textId="77777777" w:rsidR="00AF6963"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Salamatin, Mikkaela. "China's Belt and Road Initiative is Reshaping Human Rights Norms." </w:t>
      </w:r>
      <w:r>
        <w:rPr>
          <w:rFonts w:ascii="Times New Roman" w:eastAsia="Times New Roman" w:hAnsi="Times New Roman" w:cs="Times New Roman"/>
          <w:i/>
          <w:iCs/>
          <w:sz w:val="24"/>
          <w:szCs w:val="24"/>
          <w:highlight w:val="white"/>
        </w:rPr>
        <w:t>Vanderbilt Journal of Transnational Law</w:t>
      </w:r>
      <w:r>
        <w:rPr>
          <w:rFonts w:ascii="Times New Roman" w:eastAsia="Times New Roman" w:hAnsi="Times New Roman" w:cs="Times New Roman"/>
          <w:sz w:val="24"/>
          <w:szCs w:val="24"/>
          <w:highlight w:val="white"/>
        </w:rPr>
        <w:t xml:space="preserve"> 53, no. 4 (2020): 1427-1476.</w:t>
      </w:r>
    </w:p>
    <w:p w14:paraId="0DD8C464"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Scissors, Derek. “China Global Investment Tracker | American Enterprise Institute - AEI.” Accessed December 6, 2022.</w:t>
      </w:r>
      <w:hyperlink r:id="rId34">
        <w:r>
          <w:rPr>
            <w:rFonts w:ascii="Times New Roman" w:eastAsia="Times New Roman" w:hAnsi="Times New Roman" w:cs="Times New Roman"/>
            <w:sz w:val="24"/>
            <w:szCs w:val="24"/>
          </w:rPr>
          <w:t xml:space="preserve"> </w:t>
        </w:r>
      </w:hyperlink>
      <w:hyperlink r:id="rId35">
        <w:r>
          <w:rPr>
            <w:rFonts w:ascii="Times New Roman" w:eastAsia="Times New Roman" w:hAnsi="Times New Roman" w:cs="Times New Roman"/>
            <w:color w:val="467886"/>
            <w:sz w:val="24"/>
            <w:szCs w:val="24"/>
            <w:u w:val="single"/>
          </w:rPr>
          <w:t>https://www.aei.org/china-global-investment-tracker/</w:t>
        </w:r>
      </w:hyperlink>
      <w:r>
        <w:rPr>
          <w:rFonts w:ascii="Times New Roman" w:eastAsia="Times New Roman" w:hAnsi="Times New Roman" w:cs="Times New Roman"/>
          <w:sz w:val="24"/>
          <w:szCs w:val="24"/>
        </w:rPr>
        <w:t xml:space="preserve">. </w:t>
      </w:r>
    </w:p>
    <w:p w14:paraId="4FF2DCAF"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Solutions, EIU Digital. UAE signs deals with China under Belt and Road Initiative, 2019.</w:t>
      </w:r>
      <w:hyperlink r:id="rId36">
        <w:r>
          <w:rPr>
            <w:rFonts w:ascii="Times New Roman" w:eastAsia="Times New Roman" w:hAnsi="Times New Roman" w:cs="Times New Roman"/>
            <w:sz w:val="24"/>
            <w:szCs w:val="24"/>
          </w:rPr>
          <w:t xml:space="preserve"> </w:t>
        </w:r>
      </w:hyperlink>
      <w:hyperlink r:id="rId37">
        <w:r>
          <w:rPr>
            <w:rFonts w:ascii="Times New Roman" w:eastAsia="Times New Roman" w:hAnsi="Times New Roman" w:cs="Times New Roman"/>
            <w:color w:val="467886"/>
            <w:sz w:val="24"/>
            <w:szCs w:val="24"/>
            <w:u w:val="single"/>
          </w:rPr>
          <w:t>https://country.eiu.com/article.aspx?articleid=1857968369</w:t>
        </w:r>
      </w:hyperlink>
      <w:r>
        <w:rPr>
          <w:rFonts w:ascii="Times New Roman" w:eastAsia="Times New Roman" w:hAnsi="Times New Roman" w:cs="Times New Roman"/>
          <w:sz w:val="24"/>
          <w:szCs w:val="24"/>
        </w:rPr>
        <w:t>.</w:t>
      </w:r>
    </w:p>
    <w:p w14:paraId="330913CB"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State Council of the People's Republic of China. “Action Plan on the Belt and Road Initiative.” Initiative offers Road Map for Peace, prosperity. Accessed December 13, 2022.</w:t>
      </w:r>
      <w:hyperlink r:id="rId38">
        <w:r>
          <w:rPr>
            <w:rFonts w:ascii="Times New Roman" w:eastAsia="Times New Roman" w:hAnsi="Times New Roman" w:cs="Times New Roman"/>
            <w:sz w:val="24"/>
            <w:szCs w:val="24"/>
          </w:rPr>
          <w:t xml:space="preserve"> </w:t>
        </w:r>
      </w:hyperlink>
      <w:hyperlink r:id="rId39">
        <w:r>
          <w:rPr>
            <w:rFonts w:ascii="Times New Roman" w:eastAsia="Times New Roman" w:hAnsi="Times New Roman" w:cs="Times New Roman"/>
            <w:color w:val="467886"/>
            <w:sz w:val="24"/>
            <w:szCs w:val="24"/>
            <w:u w:val="single"/>
          </w:rPr>
          <w:t>http://english.www.gov.cn/archive/publications/2015/03/30/content_281475080249035.htm</w:t>
        </w:r>
      </w:hyperlink>
      <w:r>
        <w:rPr>
          <w:rFonts w:ascii="Times New Roman" w:eastAsia="Times New Roman" w:hAnsi="Times New Roman" w:cs="Times New Roman"/>
          <w:sz w:val="24"/>
          <w:szCs w:val="24"/>
        </w:rPr>
        <w:t>.</w:t>
      </w:r>
    </w:p>
    <w:p w14:paraId="7E493400"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Stewart, Megan A., Gönül Tol, and Yörük Işık. “China's Belt and Road Initiative (BRI) and Turkey's Middle Corridor: ‘Win-Win Cooperation’?” Middle East Institute, December 7, </w:t>
      </w:r>
      <w:r>
        <w:rPr>
          <w:rFonts w:ascii="Times New Roman" w:eastAsia="Times New Roman" w:hAnsi="Times New Roman" w:cs="Times New Roman"/>
          <w:sz w:val="24"/>
          <w:szCs w:val="24"/>
        </w:rPr>
        <w:lastRenderedPageBreak/>
        <w:t>2022.</w:t>
      </w:r>
      <w:hyperlink r:id="rId40">
        <w:r>
          <w:rPr>
            <w:rFonts w:ascii="Times New Roman" w:eastAsia="Times New Roman" w:hAnsi="Times New Roman" w:cs="Times New Roman"/>
            <w:sz w:val="24"/>
            <w:szCs w:val="24"/>
          </w:rPr>
          <w:t xml:space="preserve"> </w:t>
        </w:r>
      </w:hyperlink>
      <w:hyperlink r:id="rId41">
        <w:r>
          <w:rPr>
            <w:rFonts w:ascii="Times New Roman" w:eastAsia="Times New Roman" w:hAnsi="Times New Roman" w:cs="Times New Roman"/>
            <w:color w:val="467886"/>
            <w:sz w:val="24"/>
            <w:szCs w:val="24"/>
            <w:u w:val="single"/>
          </w:rPr>
          <w:t>https://www.mei.edu/publications/chinas-belt-and-road-initiative-bri-and-turkeys-middle-corridor-win-win-cooperation</w:t>
        </w:r>
      </w:hyperlink>
      <w:r>
        <w:rPr>
          <w:rFonts w:ascii="Times New Roman" w:eastAsia="Times New Roman" w:hAnsi="Times New Roman" w:cs="Times New Roman"/>
          <w:sz w:val="24"/>
          <w:szCs w:val="24"/>
        </w:rPr>
        <w:t xml:space="preserve">. </w:t>
      </w:r>
    </w:p>
    <w:p w14:paraId="595CDB5C"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WANG, Christoph NEDOPIL. “Countries of the Belt and Road Initiative (BRI).” Green Finance &amp; Development Center, July 2022.</w:t>
      </w:r>
      <w:hyperlink r:id="rId42">
        <w:r>
          <w:rPr>
            <w:rFonts w:ascii="Times New Roman" w:eastAsia="Times New Roman" w:hAnsi="Times New Roman" w:cs="Times New Roman"/>
            <w:sz w:val="24"/>
            <w:szCs w:val="24"/>
          </w:rPr>
          <w:t xml:space="preserve"> </w:t>
        </w:r>
      </w:hyperlink>
      <w:hyperlink r:id="rId43">
        <w:r>
          <w:rPr>
            <w:rFonts w:ascii="Times New Roman" w:eastAsia="Times New Roman" w:hAnsi="Times New Roman" w:cs="Times New Roman"/>
            <w:color w:val="467886"/>
            <w:sz w:val="24"/>
            <w:szCs w:val="24"/>
            <w:u w:val="single"/>
          </w:rPr>
          <w:t>https://greenfdc.org/countries-of-the-belt-and-road-initiative-bri/</w:t>
        </w:r>
      </w:hyperlink>
      <w:r>
        <w:rPr>
          <w:rFonts w:ascii="Times New Roman" w:eastAsia="Times New Roman" w:hAnsi="Times New Roman" w:cs="Times New Roman"/>
          <w:sz w:val="24"/>
          <w:szCs w:val="24"/>
        </w:rPr>
        <w:t xml:space="preserve">.  </w:t>
      </w:r>
    </w:p>
    <w:p w14:paraId="5A583FE6"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Yee, Gerald. “Eight Years on - an Overview of the Belt and Road Initiative.” The Singapore Law Gazette, November 23, 2021.</w:t>
      </w:r>
      <w:hyperlink r:id="rId44">
        <w:r>
          <w:rPr>
            <w:rFonts w:ascii="Times New Roman" w:eastAsia="Times New Roman" w:hAnsi="Times New Roman" w:cs="Times New Roman"/>
            <w:sz w:val="24"/>
            <w:szCs w:val="24"/>
          </w:rPr>
          <w:t xml:space="preserve"> </w:t>
        </w:r>
      </w:hyperlink>
      <w:hyperlink r:id="rId45">
        <w:r>
          <w:rPr>
            <w:rFonts w:ascii="Times New Roman" w:eastAsia="Times New Roman" w:hAnsi="Times New Roman" w:cs="Times New Roman"/>
            <w:color w:val="467886"/>
            <w:sz w:val="24"/>
            <w:szCs w:val="24"/>
            <w:u w:val="single"/>
          </w:rPr>
          <w:t>https://lawgazette.com.sg/news/updates/eight-years-on-belt-road-legal-insurance/</w:t>
        </w:r>
      </w:hyperlink>
      <w:r>
        <w:rPr>
          <w:rFonts w:ascii="Times New Roman" w:eastAsia="Times New Roman" w:hAnsi="Times New Roman" w:cs="Times New Roman"/>
          <w:sz w:val="24"/>
          <w:szCs w:val="24"/>
        </w:rPr>
        <w:t>.</w:t>
      </w:r>
    </w:p>
    <w:p w14:paraId="06982E7A"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 Min. Cambridge Core All Books, and Cambridge Core EBA eBooks Complete Collection. </w:t>
      </w:r>
      <w:r>
        <w:rPr>
          <w:rFonts w:ascii="Times New Roman" w:eastAsia="Times New Roman" w:hAnsi="Times New Roman" w:cs="Times New Roman"/>
          <w:i/>
          <w:iCs/>
          <w:sz w:val="24"/>
          <w:szCs w:val="24"/>
        </w:rPr>
        <w:t>The Belt Road and Beyond</w:t>
      </w:r>
      <w:r>
        <w:rPr>
          <w:rFonts w:ascii="Times New Roman" w:eastAsia="Times New Roman" w:hAnsi="Times New Roman" w:cs="Times New Roman"/>
          <w:sz w:val="24"/>
          <w:szCs w:val="24"/>
        </w:rPr>
        <w:t>. New York, NY; Cambridge, United Kingdom: Cambridge University Press, 2020.</w:t>
      </w:r>
    </w:p>
    <w:p w14:paraId="173BC295"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Gungsuh" w:eastAsia="Gungsuh" w:hAnsi="Gungsuh" w:cs="Gungsuh"/>
          <w:sz w:val="24"/>
          <w:szCs w:val="24"/>
        </w:rPr>
        <w:t>郑成琼. “What Are Six Economic Corridors under Belt and Road Initiative?” The State Council Information Office of the People's Republic of China. Accessed December 8, 2022.</w:t>
      </w:r>
      <w:hyperlink r:id="rId46">
        <w:r>
          <w:rPr>
            <w:rFonts w:ascii="Times New Roman" w:eastAsia="Times New Roman" w:hAnsi="Times New Roman" w:cs="Times New Roman"/>
            <w:sz w:val="24"/>
            <w:szCs w:val="24"/>
          </w:rPr>
          <w:t xml:space="preserve"> </w:t>
        </w:r>
      </w:hyperlink>
      <w:hyperlink r:id="rId47">
        <w:r>
          <w:rPr>
            <w:rFonts w:ascii="Times New Roman" w:eastAsia="Times New Roman" w:hAnsi="Times New Roman" w:cs="Times New Roman"/>
            <w:color w:val="467886"/>
            <w:sz w:val="24"/>
            <w:szCs w:val="24"/>
            <w:u w:val="single"/>
          </w:rPr>
          <w:t>http://english.scio.gov.cn/beltandroad/2020-08/04/content_76345602.htm</w:t>
        </w:r>
      </w:hyperlink>
      <w:r>
        <w:rPr>
          <w:rFonts w:ascii="Times New Roman" w:eastAsia="Times New Roman" w:hAnsi="Times New Roman" w:cs="Times New Roman"/>
          <w:sz w:val="24"/>
          <w:szCs w:val="24"/>
        </w:rPr>
        <w:t>.</w:t>
      </w:r>
    </w:p>
    <w:p w14:paraId="6AA493CF" w14:textId="77777777" w:rsidR="00AF6963" w:rsidRDefault="00000000">
      <w:pPr>
        <w:widowControl w:val="0"/>
        <w:spacing w:after="0" w:line="480" w:lineRule="auto"/>
        <w:ind w:left="720" w:hanging="720"/>
        <w:rPr>
          <w:rFonts w:ascii="Times New Roman" w:eastAsia="Times New Roman" w:hAnsi="Times New Roman" w:cs="Times New Roman"/>
          <w:sz w:val="24"/>
          <w:szCs w:val="24"/>
        </w:rPr>
      </w:pPr>
      <w:r>
        <w:rPr>
          <w:rFonts w:ascii="Gungsuh" w:eastAsia="Gungsuh" w:hAnsi="Gungsuh" w:cs="Gungsuh"/>
          <w:sz w:val="24"/>
          <w:szCs w:val="24"/>
        </w:rPr>
        <w:t>孙晓宇. “BRI Provides Benefits for Bangladesh.” Chinadaily.com.cn. Accessed December 13, 2022.</w:t>
      </w:r>
      <w:hyperlink r:id="rId48">
        <w:r>
          <w:rPr>
            <w:rFonts w:ascii="Times New Roman" w:eastAsia="Times New Roman" w:hAnsi="Times New Roman" w:cs="Times New Roman"/>
            <w:sz w:val="24"/>
            <w:szCs w:val="24"/>
          </w:rPr>
          <w:t xml:space="preserve"> </w:t>
        </w:r>
      </w:hyperlink>
      <w:hyperlink r:id="rId49">
        <w:r>
          <w:rPr>
            <w:rFonts w:ascii="Times New Roman" w:eastAsia="Times New Roman" w:hAnsi="Times New Roman" w:cs="Times New Roman"/>
            <w:color w:val="467886"/>
            <w:sz w:val="24"/>
            <w:szCs w:val="24"/>
            <w:u w:val="single"/>
          </w:rPr>
          <w:t>https://global.chinadaily.com.cn/a/202110/11/WS6163e762a310cdd39bc6e219.html</w:t>
        </w:r>
      </w:hyperlink>
    </w:p>
    <w:p w14:paraId="46C7698E" w14:textId="77777777" w:rsidR="00AF6963" w:rsidRDefault="00AF6963">
      <w:pPr>
        <w:widowControl w:val="0"/>
        <w:spacing w:after="160" w:line="479" w:lineRule="auto"/>
        <w:rPr>
          <w:rFonts w:ascii="Times New Roman" w:eastAsia="Times New Roman" w:hAnsi="Times New Roman" w:cs="Times New Roman"/>
          <w:sz w:val="24"/>
          <w:szCs w:val="24"/>
        </w:rPr>
      </w:pPr>
    </w:p>
    <w:p w14:paraId="6B294200" w14:textId="77777777" w:rsidR="00AF6963" w:rsidRDefault="00AF6963">
      <w:pPr>
        <w:widowControl w:val="0"/>
        <w:spacing w:after="160" w:line="479" w:lineRule="auto"/>
        <w:rPr>
          <w:rFonts w:ascii="Times New Roman" w:eastAsia="Times New Roman" w:hAnsi="Times New Roman" w:cs="Times New Roman"/>
          <w:sz w:val="24"/>
          <w:szCs w:val="24"/>
        </w:rPr>
      </w:pPr>
    </w:p>
    <w:p w14:paraId="124427A4" w14:textId="77777777" w:rsidR="00AF6963" w:rsidRDefault="00AF6963">
      <w:pPr>
        <w:widowControl w:val="0"/>
        <w:spacing w:after="160" w:line="479" w:lineRule="auto"/>
        <w:rPr>
          <w:rFonts w:ascii="Times New Roman" w:eastAsia="Times New Roman" w:hAnsi="Times New Roman" w:cs="Times New Roman"/>
          <w:sz w:val="24"/>
          <w:szCs w:val="24"/>
        </w:rPr>
      </w:pPr>
    </w:p>
    <w:p w14:paraId="5BB16FCE" w14:textId="77777777" w:rsidR="00AF6963" w:rsidRDefault="00000000">
      <w:pPr>
        <w:pStyle w:val="Heading3"/>
        <w:spacing w:before="0" w:after="0" w:line="480" w:lineRule="auto"/>
        <w:jc w:val="center"/>
        <w:rPr>
          <w:rFonts w:ascii="Times New Roman" w:eastAsia="Times New Roman" w:hAnsi="Times New Roman" w:cs="Times New Roman"/>
          <w:sz w:val="24"/>
          <w:szCs w:val="24"/>
        </w:rPr>
      </w:pPr>
      <w:bookmarkStart w:id="7" w:name="_m6ntbz13yr4g" w:colFirst="0" w:colLast="0"/>
      <w:bookmarkEnd w:id="7"/>
      <w:r>
        <w:rPr>
          <w:color w:val="7A0808"/>
        </w:rPr>
        <w:lastRenderedPageBreak/>
        <w:t>APPENDIX</w:t>
      </w:r>
    </w:p>
    <w:p w14:paraId="411B18A3"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iCs/>
          <w:color w:val="A0504F"/>
          <w:sz w:val="24"/>
          <w:szCs w:val="24"/>
        </w:rPr>
        <w:t>APPENDIX A: Raw Data on East Asian Countries</w:t>
      </w:r>
    </w:p>
    <w:p w14:paraId="478D0725"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BRI-related Investment and Construction Spending in Cambodia:</w:t>
      </w:r>
    </w:p>
    <w:p w14:paraId="0857FFCB" w14:textId="77777777" w:rsidR="00AF6963" w:rsidRDefault="00000000">
      <w:pPr>
        <w:widowControl w:val="0"/>
        <w:spacing w:after="160" w:line="47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B0E76C2" wp14:editId="34EEC765">
            <wp:extent cx="5720944" cy="3282986"/>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0"/>
                    <a:srcRect/>
                    <a:stretch>
                      <a:fillRect/>
                    </a:stretch>
                  </pic:blipFill>
                  <pic:spPr>
                    <a:xfrm>
                      <a:off x="0" y="0"/>
                      <a:ext cx="5720944" cy="3282986"/>
                    </a:xfrm>
                    <a:prstGeom prst="rect">
                      <a:avLst/>
                    </a:prstGeom>
                    <a:ln/>
                  </pic:spPr>
                </pic:pic>
              </a:graphicData>
            </a:graphic>
          </wp:inline>
        </w:drawing>
      </w:r>
    </w:p>
    <w:p w14:paraId="32FCD10F" w14:textId="77777777" w:rsidR="00AF6963" w:rsidRDefault="00000000">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BRI-related Investment and Construction Spending in Singapore:</w:t>
      </w:r>
    </w:p>
    <w:p w14:paraId="27ECFCC6" w14:textId="77777777" w:rsidR="00AF6963" w:rsidRDefault="00000000">
      <w:pPr>
        <w:widowControl w:val="0"/>
        <w:spacing w:after="0" w:line="480" w:lineRule="auto"/>
        <w:ind w:right="2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7643C24" wp14:editId="6B6411BC">
            <wp:extent cx="5691188" cy="2980183"/>
            <wp:effectExtent l="0" t="0" r="0" b="0"/>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1"/>
                    <a:srcRect/>
                    <a:stretch>
                      <a:fillRect/>
                    </a:stretch>
                  </pic:blipFill>
                  <pic:spPr>
                    <a:xfrm>
                      <a:off x="0" y="0"/>
                      <a:ext cx="5691188" cy="2980183"/>
                    </a:xfrm>
                    <a:prstGeom prst="rect">
                      <a:avLst/>
                    </a:prstGeom>
                    <a:ln/>
                  </pic:spPr>
                </pic:pic>
              </a:graphicData>
            </a:graphic>
          </wp:inline>
        </w:drawing>
      </w:r>
    </w:p>
    <w:p w14:paraId="49AA06FB" w14:textId="77777777" w:rsidR="00AF6963" w:rsidRDefault="00000000">
      <w:pPr>
        <w:widowControl w:val="0"/>
        <w:spacing w:after="0" w:line="480" w:lineRule="auto"/>
        <w:ind w:right="2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9093F45" wp14:editId="72CD4282">
            <wp:extent cx="5943600" cy="3086100"/>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2"/>
                    <a:srcRect/>
                    <a:stretch>
                      <a:fillRect/>
                    </a:stretch>
                  </pic:blipFill>
                  <pic:spPr>
                    <a:xfrm>
                      <a:off x="0" y="0"/>
                      <a:ext cx="5943600" cy="3086100"/>
                    </a:xfrm>
                    <a:prstGeom prst="rect">
                      <a:avLst/>
                    </a:prstGeom>
                    <a:ln/>
                  </pic:spPr>
                </pic:pic>
              </a:graphicData>
            </a:graphic>
          </wp:inline>
        </w:drawing>
      </w:r>
    </w:p>
    <w:p w14:paraId="1ADA96DD" w14:textId="77777777" w:rsidR="00AF6963" w:rsidRDefault="00000000">
      <w:pPr>
        <w:widowControl w:val="0"/>
        <w:spacing w:after="0" w:line="480" w:lineRule="auto"/>
        <w:ind w:right="2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77D6C96" wp14:editId="31BB9DF8">
            <wp:extent cx="5943600" cy="31242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3"/>
                    <a:srcRect/>
                    <a:stretch>
                      <a:fillRect/>
                    </a:stretch>
                  </pic:blipFill>
                  <pic:spPr>
                    <a:xfrm>
                      <a:off x="0" y="0"/>
                      <a:ext cx="5943600" cy="3124200"/>
                    </a:xfrm>
                    <a:prstGeom prst="rect">
                      <a:avLst/>
                    </a:prstGeom>
                    <a:ln/>
                  </pic:spPr>
                </pic:pic>
              </a:graphicData>
            </a:graphic>
          </wp:inline>
        </w:drawing>
      </w:r>
    </w:p>
    <w:p w14:paraId="4EDA614B" w14:textId="77777777" w:rsidR="00AF6963" w:rsidRDefault="00AF6963">
      <w:pPr>
        <w:widowControl w:val="0"/>
        <w:spacing w:after="0" w:line="480" w:lineRule="auto"/>
        <w:rPr>
          <w:rFonts w:ascii="Times New Roman" w:eastAsia="Times New Roman" w:hAnsi="Times New Roman" w:cs="Times New Roman"/>
          <w:sz w:val="24"/>
          <w:szCs w:val="24"/>
        </w:rPr>
      </w:pPr>
    </w:p>
    <w:p w14:paraId="2AD35F40" w14:textId="77777777" w:rsidR="00AF6963" w:rsidRDefault="00AF6963">
      <w:pPr>
        <w:widowControl w:val="0"/>
        <w:spacing w:after="0" w:line="480" w:lineRule="auto"/>
        <w:rPr>
          <w:rFonts w:ascii="Times New Roman" w:eastAsia="Times New Roman" w:hAnsi="Times New Roman" w:cs="Times New Roman"/>
          <w:sz w:val="24"/>
          <w:szCs w:val="24"/>
        </w:rPr>
      </w:pPr>
    </w:p>
    <w:p w14:paraId="09F9EE66" w14:textId="77777777" w:rsidR="00AF6963" w:rsidRDefault="00AF6963">
      <w:pPr>
        <w:widowControl w:val="0"/>
        <w:spacing w:after="0" w:line="480" w:lineRule="auto"/>
        <w:rPr>
          <w:rFonts w:ascii="Times New Roman" w:eastAsia="Times New Roman" w:hAnsi="Times New Roman" w:cs="Times New Roman"/>
          <w:sz w:val="24"/>
          <w:szCs w:val="24"/>
        </w:rPr>
      </w:pPr>
    </w:p>
    <w:p w14:paraId="543B71DB" w14:textId="77777777" w:rsidR="00AF6963" w:rsidRDefault="00AF6963">
      <w:pPr>
        <w:widowControl w:val="0"/>
        <w:spacing w:after="0" w:line="480" w:lineRule="auto"/>
        <w:rPr>
          <w:rFonts w:ascii="Times New Roman" w:eastAsia="Times New Roman" w:hAnsi="Times New Roman" w:cs="Times New Roman"/>
          <w:sz w:val="24"/>
          <w:szCs w:val="24"/>
        </w:rPr>
      </w:pPr>
    </w:p>
    <w:p w14:paraId="6ED691E8" w14:textId="77777777" w:rsidR="00E75197" w:rsidRDefault="00E75197">
      <w:pPr>
        <w:widowControl w:val="0"/>
        <w:spacing w:after="0" w:line="480" w:lineRule="auto"/>
        <w:rPr>
          <w:rFonts w:ascii="Times New Roman" w:eastAsia="Times New Roman" w:hAnsi="Times New Roman" w:cs="Times New Roman"/>
          <w:sz w:val="24"/>
          <w:szCs w:val="24"/>
        </w:rPr>
      </w:pPr>
    </w:p>
    <w:p w14:paraId="078BBE3F"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BRI-related Investment and Construction Spending in Philippines:</w:t>
      </w:r>
    </w:p>
    <w:p w14:paraId="170E28A4" w14:textId="77777777" w:rsidR="00AF6963" w:rsidRDefault="00000000">
      <w:pPr>
        <w:widowControl w:val="0"/>
        <w:spacing w:after="0" w:line="480" w:lineRule="auto"/>
        <w:ind w:right="2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5A80704" wp14:editId="1A21E8B7">
            <wp:extent cx="5943600" cy="2628900"/>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4"/>
                    <a:srcRect/>
                    <a:stretch>
                      <a:fillRect/>
                    </a:stretch>
                  </pic:blipFill>
                  <pic:spPr>
                    <a:xfrm>
                      <a:off x="0" y="0"/>
                      <a:ext cx="5943600" cy="2628900"/>
                    </a:xfrm>
                    <a:prstGeom prst="rect">
                      <a:avLst/>
                    </a:prstGeom>
                    <a:ln/>
                  </pic:spPr>
                </pic:pic>
              </a:graphicData>
            </a:graphic>
          </wp:inline>
        </w:drawing>
      </w:r>
    </w:p>
    <w:p w14:paraId="1539E66F"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BRI-related Investment and Construction Spending in Laos:</w:t>
      </w:r>
    </w:p>
    <w:p w14:paraId="6949F568" w14:textId="77777777" w:rsidR="00AF6963" w:rsidRDefault="00000000">
      <w:pPr>
        <w:widowControl w:val="0"/>
        <w:spacing w:after="0" w:line="480" w:lineRule="auto"/>
        <w:ind w:right="2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1E97A2A" wp14:editId="15007441">
            <wp:extent cx="5943600" cy="34036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5"/>
                    <a:srcRect/>
                    <a:stretch>
                      <a:fillRect/>
                    </a:stretch>
                  </pic:blipFill>
                  <pic:spPr>
                    <a:xfrm>
                      <a:off x="0" y="0"/>
                      <a:ext cx="5943600" cy="3403600"/>
                    </a:xfrm>
                    <a:prstGeom prst="rect">
                      <a:avLst/>
                    </a:prstGeom>
                    <a:ln/>
                  </pic:spPr>
                </pic:pic>
              </a:graphicData>
            </a:graphic>
          </wp:inline>
        </w:drawing>
      </w:r>
    </w:p>
    <w:p w14:paraId="555882C0" w14:textId="77777777" w:rsidR="00AF6963" w:rsidRDefault="00AF6963">
      <w:pPr>
        <w:widowControl w:val="0"/>
        <w:spacing w:after="0" w:line="480" w:lineRule="auto"/>
        <w:rPr>
          <w:rFonts w:ascii="Times New Roman" w:eastAsia="Times New Roman" w:hAnsi="Times New Roman" w:cs="Times New Roman"/>
          <w:sz w:val="24"/>
          <w:szCs w:val="24"/>
        </w:rPr>
      </w:pPr>
    </w:p>
    <w:p w14:paraId="3F9CF623" w14:textId="77777777" w:rsidR="00AF6963" w:rsidRDefault="00AF6963">
      <w:pPr>
        <w:widowControl w:val="0"/>
        <w:spacing w:after="0" w:line="480" w:lineRule="auto"/>
        <w:rPr>
          <w:rFonts w:ascii="Times New Roman" w:eastAsia="Times New Roman" w:hAnsi="Times New Roman" w:cs="Times New Roman"/>
          <w:sz w:val="24"/>
          <w:szCs w:val="24"/>
        </w:rPr>
      </w:pPr>
    </w:p>
    <w:p w14:paraId="039B7642" w14:textId="77777777" w:rsidR="00AF6963" w:rsidRDefault="00AF6963">
      <w:pPr>
        <w:widowControl w:val="0"/>
        <w:spacing w:after="0" w:line="480" w:lineRule="auto"/>
        <w:rPr>
          <w:rFonts w:ascii="Times New Roman" w:eastAsia="Times New Roman" w:hAnsi="Times New Roman" w:cs="Times New Roman"/>
          <w:sz w:val="24"/>
          <w:szCs w:val="24"/>
        </w:rPr>
      </w:pPr>
    </w:p>
    <w:p w14:paraId="7E1477C6"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BRI-related Investment and Construction Spending in Indonesia:</w:t>
      </w:r>
    </w:p>
    <w:p w14:paraId="7243D0CD" w14:textId="77777777" w:rsidR="00AF6963" w:rsidRDefault="00000000">
      <w:pPr>
        <w:widowControl w:val="0"/>
        <w:spacing w:after="0" w:line="480" w:lineRule="auto"/>
        <w:ind w:right="2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D7890AB" wp14:editId="2552CCA9">
            <wp:extent cx="5943600" cy="3441700"/>
            <wp:effectExtent l="0" t="0" r="0" b="0"/>
            <wp:docPr id="2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56"/>
                    <a:srcRect/>
                    <a:stretch>
                      <a:fillRect/>
                    </a:stretch>
                  </pic:blipFill>
                  <pic:spPr>
                    <a:xfrm>
                      <a:off x="0" y="0"/>
                      <a:ext cx="5943600" cy="3441700"/>
                    </a:xfrm>
                    <a:prstGeom prst="rect">
                      <a:avLst/>
                    </a:prstGeom>
                    <a:ln/>
                  </pic:spPr>
                </pic:pic>
              </a:graphicData>
            </a:graphic>
          </wp:inline>
        </w:drawing>
      </w:r>
    </w:p>
    <w:p w14:paraId="2EAE3BA4" w14:textId="77777777" w:rsidR="00AF6963" w:rsidRDefault="00000000">
      <w:pPr>
        <w:widowControl w:val="0"/>
        <w:spacing w:after="0" w:line="480" w:lineRule="auto"/>
        <w:ind w:right="2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4822F61" wp14:editId="4160A116">
            <wp:extent cx="5943600" cy="34036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7"/>
                    <a:srcRect/>
                    <a:stretch>
                      <a:fillRect/>
                    </a:stretch>
                  </pic:blipFill>
                  <pic:spPr>
                    <a:xfrm>
                      <a:off x="0" y="0"/>
                      <a:ext cx="5943600" cy="3403600"/>
                    </a:xfrm>
                    <a:prstGeom prst="rect">
                      <a:avLst/>
                    </a:prstGeom>
                    <a:ln/>
                  </pic:spPr>
                </pic:pic>
              </a:graphicData>
            </a:graphic>
          </wp:inline>
        </w:drawing>
      </w:r>
    </w:p>
    <w:p w14:paraId="6D32BD18" w14:textId="77777777" w:rsidR="00AF6963" w:rsidRDefault="00000000">
      <w:pPr>
        <w:widowControl w:val="0"/>
        <w:spacing w:after="0" w:line="480" w:lineRule="auto"/>
        <w:ind w:right="2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310A4C8" wp14:editId="208E53B1">
            <wp:extent cx="5943600" cy="3378200"/>
            <wp:effectExtent l="0" t="0" r="0" b="0"/>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8"/>
                    <a:srcRect/>
                    <a:stretch>
                      <a:fillRect/>
                    </a:stretch>
                  </pic:blipFill>
                  <pic:spPr>
                    <a:xfrm>
                      <a:off x="0" y="0"/>
                      <a:ext cx="5943600" cy="3378200"/>
                    </a:xfrm>
                    <a:prstGeom prst="rect">
                      <a:avLst/>
                    </a:prstGeom>
                    <a:ln/>
                  </pic:spPr>
                </pic:pic>
              </a:graphicData>
            </a:graphic>
          </wp:inline>
        </w:drawing>
      </w:r>
    </w:p>
    <w:p w14:paraId="4E8D3C9A"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BRI-related Investment and Construction Spending in Vietnam:</w:t>
      </w:r>
    </w:p>
    <w:p w14:paraId="1B5AB597" w14:textId="77777777" w:rsidR="00AF6963" w:rsidRDefault="00000000">
      <w:pPr>
        <w:widowControl w:val="0"/>
        <w:spacing w:after="0" w:line="480" w:lineRule="auto"/>
        <w:ind w:right="2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F2D6846" wp14:editId="5C05F708">
            <wp:extent cx="5943600" cy="3390900"/>
            <wp:effectExtent l="0" t="0" r="0" b="0"/>
            <wp:docPr id="3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9"/>
                    <a:srcRect/>
                    <a:stretch>
                      <a:fillRect/>
                    </a:stretch>
                  </pic:blipFill>
                  <pic:spPr>
                    <a:xfrm>
                      <a:off x="0" y="0"/>
                      <a:ext cx="5943600" cy="3390900"/>
                    </a:xfrm>
                    <a:prstGeom prst="rect">
                      <a:avLst/>
                    </a:prstGeom>
                    <a:ln/>
                  </pic:spPr>
                </pic:pic>
              </a:graphicData>
            </a:graphic>
          </wp:inline>
        </w:drawing>
      </w:r>
    </w:p>
    <w:p w14:paraId="01F52CF0" w14:textId="77777777" w:rsidR="00AF6963" w:rsidRDefault="00AF6963">
      <w:pPr>
        <w:widowControl w:val="0"/>
        <w:spacing w:after="0" w:line="480" w:lineRule="auto"/>
        <w:ind w:right="255"/>
        <w:rPr>
          <w:rFonts w:ascii="Times New Roman" w:eastAsia="Times New Roman" w:hAnsi="Times New Roman" w:cs="Times New Roman"/>
          <w:sz w:val="24"/>
          <w:szCs w:val="24"/>
        </w:rPr>
      </w:pPr>
    </w:p>
    <w:p w14:paraId="35C9A6D0" w14:textId="77777777" w:rsidR="00AF6963" w:rsidRDefault="00AF6963">
      <w:pPr>
        <w:widowControl w:val="0"/>
        <w:spacing w:after="0" w:line="480" w:lineRule="auto"/>
        <w:ind w:right="255"/>
        <w:rPr>
          <w:rFonts w:ascii="Times New Roman" w:eastAsia="Times New Roman" w:hAnsi="Times New Roman" w:cs="Times New Roman"/>
          <w:sz w:val="24"/>
          <w:szCs w:val="24"/>
        </w:rPr>
      </w:pPr>
    </w:p>
    <w:p w14:paraId="1411592D"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BRI-related Investment and Construction Spending in Malaysia:</w:t>
      </w:r>
    </w:p>
    <w:p w14:paraId="7896D522" w14:textId="77777777" w:rsidR="00AF6963" w:rsidRDefault="00000000">
      <w:pPr>
        <w:widowControl w:val="0"/>
        <w:spacing w:after="0" w:line="480" w:lineRule="auto"/>
        <w:ind w:right="2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BE2D12F" wp14:editId="777FEBC3">
            <wp:extent cx="5943600" cy="2971800"/>
            <wp:effectExtent l="0" t="0" r="0" b="0"/>
            <wp:docPr id="3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0"/>
                    <a:srcRect/>
                    <a:stretch>
                      <a:fillRect/>
                    </a:stretch>
                  </pic:blipFill>
                  <pic:spPr>
                    <a:xfrm>
                      <a:off x="0" y="0"/>
                      <a:ext cx="5943600" cy="2971800"/>
                    </a:xfrm>
                    <a:prstGeom prst="rect">
                      <a:avLst/>
                    </a:prstGeom>
                    <a:ln/>
                  </pic:spPr>
                </pic:pic>
              </a:graphicData>
            </a:graphic>
          </wp:inline>
        </w:drawing>
      </w:r>
    </w:p>
    <w:p w14:paraId="4D7B659F" w14:textId="77777777" w:rsidR="00AF6963" w:rsidRDefault="00000000">
      <w:pPr>
        <w:widowControl w:val="0"/>
        <w:spacing w:after="0" w:line="480" w:lineRule="auto"/>
        <w:ind w:right="25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1848311" wp14:editId="53A4D3F4">
            <wp:extent cx="5943600" cy="2857500"/>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1"/>
                    <a:srcRect/>
                    <a:stretch>
                      <a:fillRect/>
                    </a:stretch>
                  </pic:blipFill>
                  <pic:spPr>
                    <a:xfrm>
                      <a:off x="0" y="0"/>
                      <a:ext cx="5943600" cy="2857500"/>
                    </a:xfrm>
                    <a:prstGeom prst="rect">
                      <a:avLst/>
                    </a:prstGeom>
                    <a:ln/>
                  </pic:spPr>
                </pic:pic>
              </a:graphicData>
            </a:graphic>
          </wp:inline>
        </w:drawing>
      </w:r>
    </w:p>
    <w:p w14:paraId="11F670BD" w14:textId="77777777" w:rsidR="00AF6963" w:rsidRDefault="00AF6963">
      <w:pPr>
        <w:widowControl w:val="0"/>
        <w:spacing w:after="0" w:line="480" w:lineRule="auto"/>
        <w:ind w:right="255"/>
        <w:rPr>
          <w:rFonts w:ascii="Times New Roman" w:eastAsia="Times New Roman" w:hAnsi="Times New Roman" w:cs="Times New Roman"/>
          <w:sz w:val="24"/>
          <w:szCs w:val="24"/>
        </w:rPr>
      </w:pPr>
    </w:p>
    <w:p w14:paraId="364FAC52" w14:textId="77777777" w:rsidR="00AF6963" w:rsidRDefault="00AF6963">
      <w:pPr>
        <w:widowControl w:val="0"/>
        <w:spacing w:after="0" w:line="480" w:lineRule="auto"/>
        <w:rPr>
          <w:rFonts w:ascii="Times New Roman" w:eastAsia="Times New Roman" w:hAnsi="Times New Roman" w:cs="Times New Roman"/>
          <w:i/>
          <w:iCs/>
          <w:color w:val="A0504F"/>
          <w:sz w:val="24"/>
          <w:szCs w:val="24"/>
        </w:rPr>
      </w:pPr>
    </w:p>
    <w:p w14:paraId="29929F54" w14:textId="77777777" w:rsidR="00AF6963" w:rsidRDefault="00AF6963">
      <w:pPr>
        <w:widowControl w:val="0"/>
        <w:spacing w:after="0" w:line="480" w:lineRule="auto"/>
        <w:rPr>
          <w:rFonts w:ascii="Times New Roman" w:eastAsia="Times New Roman" w:hAnsi="Times New Roman" w:cs="Times New Roman"/>
          <w:i/>
          <w:iCs/>
          <w:color w:val="A0504F"/>
          <w:sz w:val="24"/>
          <w:szCs w:val="24"/>
        </w:rPr>
      </w:pPr>
    </w:p>
    <w:p w14:paraId="78F735AD" w14:textId="77777777" w:rsidR="00AF6963" w:rsidRDefault="00AF6963">
      <w:pPr>
        <w:widowControl w:val="0"/>
        <w:spacing w:after="0" w:line="480" w:lineRule="auto"/>
        <w:rPr>
          <w:rFonts w:ascii="Times New Roman" w:eastAsia="Times New Roman" w:hAnsi="Times New Roman" w:cs="Times New Roman"/>
          <w:i/>
          <w:iCs/>
          <w:color w:val="A0504F"/>
          <w:sz w:val="24"/>
          <w:szCs w:val="24"/>
        </w:rPr>
      </w:pPr>
    </w:p>
    <w:p w14:paraId="3ED317B9" w14:textId="77777777" w:rsidR="00AF6963" w:rsidRDefault="00AF6963">
      <w:pPr>
        <w:widowControl w:val="0"/>
        <w:spacing w:after="0" w:line="480" w:lineRule="auto"/>
        <w:rPr>
          <w:rFonts w:ascii="Times New Roman" w:eastAsia="Times New Roman" w:hAnsi="Times New Roman" w:cs="Times New Roman"/>
          <w:i/>
          <w:iCs/>
          <w:color w:val="A0504F"/>
          <w:sz w:val="24"/>
          <w:szCs w:val="24"/>
        </w:rPr>
      </w:pPr>
    </w:p>
    <w:p w14:paraId="4341E102" w14:textId="77777777" w:rsidR="00AF6963" w:rsidRDefault="00000000">
      <w:pPr>
        <w:widowControl w:val="0"/>
        <w:spacing w:after="0" w:line="480" w:lineRule="auto"/>
        <w:rPr>
          <w:rFonts w:ascii="Times New Roman" w:eastAsia="Times New Roman" w:hAnsi="Times New Roman" w:cs="Times New Roman"/>
          <w:i/>
          <w:iCs/>
          <w:color w:val="A0504F"/>
          <w:sz w:val="24"/>
          <w:szCs w:val="24"/>
        </w:rPr>
      </w:pPr>
      <w:r>
        <w:rPr>
          <w:rFonts w:ascii="Times New Roman" w:eastAsia="Times New Roman" w:hAnsi="Times New Roman" w:cs="Times New Roman"/>
          <w:i/>
          <w:iCs/>
          <w:color w:val="A0504F"/>
          <w:sz w:val="24"/>
          <w:szCs w:val="24"/>
        </w:rPr>
        <w:lastRenderedPageBreak/>
        <w:t>APPENDIX B: Raw Data on countries that allow access to new markets</w:t>
      </w:r>
    </w:p>
    <w:p w14:paraId="5161EA88"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BRI-related Investment and Construction Spending in Greece:</w:t>
      </w:r>
    </w:p>
    <w:p w14:paraId="346F5752"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5641AFE" wp14:editId="1C6C8866">
            <wp:extent cx="5943600" cy="3390900"/>
            <wp:effectExtent l="0" t="0" r="0" b="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2"/>
                    <a:srcRect/>
                    <a:stretch>
                      <a:fillRect/>
                    </a:stretch>
                  </pic:blipFill>
                  <pic:spPr>
                    <a:xfrm>
                      <a:off x="0" y="0"/>
                      <a:ext cx="5943600" cy="3390900"/>
                    </a:xfrm>
                    <a:prstGeom prst="rect">
                      <a:avLst/>
                    </a:prstGeom>
                    <a:ln/>
                  </pic:spPr>
                </pic:pic>
              </a:graphicData>
            </a:graphic>
          </wp:inline>
        </w:drawing>
      </w:r>
    </w:p>
    <w:p w14:paraId="2E75BE8E"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BRI-related Investment and Construction Spending in Kenya:</w:t>
      </w:r>
    </w:p>
    <w:p w14:paraId="761C1849"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AB969C7" wp14:editId="061BBE07">
            <wp:extent cx="5943600" cy="3111500"/>
            <wp:effectExtent l="0" t="0" r="0" b="0"/>
            <wp:docPr id="1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3"/>
                    <a:srcRect/>
                    <a:stretch>
                      <a:fillRect/>
                    </a:stretch>
                  </pic:blipFill>
                  <pic:spPr>
                    <a:xfrm>
                      <a:off x="0" y="0"/>
                      <a:ext cx="5943600" cy="3111500"/>
                    </a:xfrm>
                    <a:prstGeom prst="rect">
                      <a:avLst/>
                    </a:prstGeom>
                    <a:ln/>
                  </pic:spPr>
                </pic:pic>
              </a:graphicData>
            </a:graphic>
          </wp:inline>
        </w:drawing>
      </w:r>
    </w:p>
    <w:p w14:paraId="2EDCAC65" w14:textId="77777777" w:rsidR="00AF6963" w:rsidRDefault="00AF6963">
      <w:pPr>
        <w:widowControl w:val="0"/>
        <w:spacing w:after="0" w:line="480" w:lineRule="auto"/>
        <w:rPr>
          <w:rFonts w:ascii="Times New Roman" w:eastAsia="Times New Roman" w:hAnsi="Times New Roman" w:cs="Times New Roman"/>
          <w:sz w:val="24"/>
          <w:szCs w:val="24"/>
        </w:rPr>
      </w:pPr>
    </w:p>
    <w:p w14:paraId="62CE6C8A" w14:textId="77777777" w:rsidR="00AF6963" w:rsidRDefault="00000000">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BRI-related Investment and Construction Spending in Pakistan:</w:t>
      </w:r>
    </w:p>
    <w:p w14:paraId="2426DFC6"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155D800" wp14:editId="054C6074">
            <wp:extent cx="5943600" cy="3403600"/>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4"/>
                    <a:srcRect/>
                    <a:stretch>
                      <a:fillRect/>
                    </a:stretch>
                  </pic:blipFill>
                  <pic:spPr>
                    <a:xfrm>
                      <a:off x="0" y="0"/>
                      <a:ext cx="5943600" cy="3403600"/>
                    </a:xfrm>
                    <a:prstGeom prst="rect">
                      <a:avLst/>
                    </a:prstGeom>
                    <a:ln/>
                  </pic:spPr>
                </pic:pic>
              </a:graphicData>
            </a:graphic>
          </wp:inline>
        </w:drawing>
      </w:r>
    </w:p>
    <w:p w14:paraId="02636927"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E1CFD8F" wp14:editId="1938325D">
            <wp:extent cx="5943600" cy="3403600"/>
            <wp:effectExtent l="0" t="0" r="0" b="0"/>
            <wp:docPr id="3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5"/>
                    <a:srcRect/>
                    <a:stretch>
                      <a:fillRect/>
                    </a:stretch>
                  </pic:blipFill>
                  <pic:spPr>
                    <a:xfrm>
                      <a:off x="0" y="0"/>
                      <a:ext cx="5943600" cy="3403600"/>
                    </a:xfrm>
                    <a:prstGeom prst="rect">
                      <a:avLst/>
                    </a:prstGeom>
                    <a:ln/>
                  </pic:spPr>
                </pic:pic>
              </a:graphicData>
            </a:graphic>
          </wp:inline>
        </w:drawing>
      </w:r>
    </w:p>
    <w:p w14:paraId="3AC5B5D0" w14:textId="77777777" w:rsidR="00AF6963" w:rsidRDefault="00AF6963">
      <w:pPr>
        <w:widowControl w:val="0"/>
        <w:spacing w:after="0" w:line="480" w:lineRule="auto"/>
        <w:rPr>
          <w:rFonts w:ascii="Times New Roman" w:eastAsia="Times New Roman" w:hAnsi="Times New Roman" w:cs="Times New Roman"/>
          <w:sz w:val="24"/>
          <w:szCs w:val="24"/>
        </w:rPr>
      </w:pPr>
    </w:p>
    <w:p w14:paraId="4DDCD2B1" w14:textId="77777777" w:rsidR="00AF6963" w:rsidRDefault="00AF6963">
      <w:pPr>
        <w:widowControl w:val="0"/>
        <w:spacing w:after="0" w:line="480" w:lineRule="auto"/>
        <w:rPr>
          <w:rFonts w:ascii="Times New Roman" w:eastAsia="Times New Roman" w:hAnsi="Times New Roman" w:cs="Times New Roman"/>
          <w:sz w:val="24"/>
          <w:szCs w:val="24"/>
        </w:rPr>
      </w:pPr>
    </w:p>
    <w:p w14:paraId="2B8BB0E3"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BRI-related Investment and Construction Spending in Djibouti:</w:t>
      </w:r>
    </w:p>
    <w:p w14:paraId="290DAD1D"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BF0E457" wp14:editId="0374AD2F">
            <wp:extent cx="5943600" cy="3365500"/>
            <wp:effectExtent l="0" t="0" r="0" b="0"/>
            <wp:docPr id="2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6"/>
                    <a:srcRect/>
                    <a:stretch>
                      <a:fillRect/>
                    </a:stretch>
                  </pic:blipFill>
                  <pic:spPr>
                    <a:xfrm>
                      <a:off x="0" y="0"/>
                      <a:ext cx="5943600" cy="3365500"/>
                    </a:xfrm>
                    <a:prstGeom prst="rect">
                      <a:avLst/>
                    </a:prstGeom>
                    <a:ln/>
                  </pic:spPr>
                </pic:pic>
              </a:graphicData>
            </a:graphic>
          </wp:inline>
        </w:drawing>
      </w:r>
    </w:p>
    <w:p w14:paraId="0CB6F14D"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BRI-related Investment and Construction Spending in Egypt:</w:t>
      </w:r>
    </w:p>
    <w:p w14:paraId="6153E08D"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E2493CE" wp14:editId="4C47145C">
            <wp:extent cx="5943600" cy="3454400"/>
            <wp:effectExtent l="0" t="0" r="0" b="0"/>
            <wp:docPr id="3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7"/>
                    <a:srcRect/>
                    <a:stretch>
                      <a:fillRect/>
                    </a:stretch>
                  </pic:blipFill>
                  <pic:spPr>
                    <a:xfrm>
                      <a:off x="0" y="0"/>
                      <a:ext cx="5943600" cy="3454400"/>
                    </a:xfrm>
                    <a:prstGeom prst="rect">
                      <a:avLst/>
                    </a:prstGeom>
                    <a:ln/>
                  </pic:spPr>
                </pic:pic>
              </a:graphicData>
            </a:graphic>
          </wp:inline>
        </w:drawing>
      </w:r>
    </w:p>
    <w:p w14:paraId="69DA694C" w14:textId="77777777" w:rsidR="00AF6963" w:rsidRDefault="00AF6963">
      <w:pPr>
        <w:widowControl w:val="0"/>
        <w:spacing w:after="0" w:line="480" w:lineRule="auto"/>
        <w:rPr>
          <w:rFonts w:ascii="Times New Roman" w:eastAsia="Times New Roman" w:hAnsi="Times New Roman" w:cs="Times New Roman"/>
          <w:sz w:val="24"/>
          <w:szCs w:val="24"/>
        </w:rPr>
      </w:pPr>
    </w:p>
    <w:p w14:paraId="7B066DE9"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BRI-related Investment and Construction Spending in Turkey:</w:t>
      </w:r>
    </w:p>
    <w:p w14:paraId="40B373AA"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DE4F50C" wp14:editId="3399AF38">
            <wp:extent cx="5943600" cy="32893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8"/>
                    <a:srcRect/>
                    <a:stretch>
                      <a:fillRect/>
                    </a:stretch>
                  </pic:blipFill>
                  <pic:spPr>
                    <a:xfrm>
                      <a:off x="0" y="0"/>
                      <a:ext cx="5943600" cy="3289300"/>
                    </a:xfrm>
                    <a:prstGeom prst="rect">
                      <a:avLst/>
                    </a:prstGeom>
                    <a:ln/>
                  </pic:spPr>
                </pic:pic>
              </a:graphicData>
            </a:graphic>
          </wp:inline>
        </w:drawing>
      </w:r>
    </w:p>
    <w:p w14:paraId="3F690983"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BRI-related Investment and Construction Spending in Bangladesh:</w:t>
      </w:r>
    </w:p>
    <w:p w14:paraId="3B9ECEBE"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9E3B35D" wp14:editId="1F64BD38">
            <wp:extent cx="5943600" cy="3149600"/>
            <wp:effectExtent l="0" t="0" r="0" b="0"/>
            <wp:docPr id="2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9"/>
                    <a:srcRect/>
                    <a:stretch>
                      <a:fillRect/>
                    </a:stretch>
                  </pic:blipFill>
                  <pic:spPr>
                    <a:xfrm>
                      <a:off x="0" y="0"/>
                      <a:ext cx="5943600" cy="3149600"/>
                    </a:xfrm>
                    <a:prstGeom prst="rect">
                      <a:avLst/>
                    </a:prstGeom>
                    <a:ln/>
                  </pic:spPr>
                </pic:pic>
              </a:graphicData>
            </a:graphic>
          </wp:inline>
        </w:drawing>
      </w:r>
    </w:p>
    <w:p w14:paraId="566E14EE"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6BBDD4A" wp14:editId="202558D2">
            <wp:extent cx="5943600" cy="3124200"/>
            <wp:effectExtent l="0" t="0" r="0" b="0"/>
            <wp:docPr id="2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70"/>
                    <a:srcRect/>
                    <a:stretch>
                      <a:fillRect/>
                    </a:stretch>
                  </pic:blipFill>
                  <pic:spPr>
                    <a:xfrm>
                      <a:off x="0" y="0"/>
                      <a:ext cx="5943600" cy="3124200"/>
                    </a:xfrm>
                    <a:prstGeom prst="rect">
                      <a:avLst/>
                    </a:prstGeom>
                    <a:ln/>
                  </pic:spPr>
                </pic:pic>
              </a:graphicData>
            </a:graphic>
          </wp:inline>
        </w:drawing>
      </w:r>
    </w:p>
    <w:p w14:paraId="5825DA5B" w14:textId="77777777" w:rsidR="00AF6963" w:rsidRDefault="00AF6963">
      <w:pPr>
        <w:widowControl w:val="0"/>
        <w:spacing w:after="0" w:line="480" w:lineRule="auto"/>
        <w:rPr>
          <w:rFonts w:ascii="Times New Roman" w:eastAsia="Times New Roman" w:hAnsi="Times New Roman" w:cs="Times New Roman"/>
          <w:sz w:val="24"/>
          <w:szCs w:val="24"/>
        </w:rPr>
      </w:pPr>
    </w:p>
    <w:p w14:paraId="3F36C47A" w14:textId="77777777" w:rsidR="00AF6963" w:rsidRDefault="00000000">
      <w:pPr>
        <w:widowControl w:val="0"/>
        <w:spacing w:after="0" w:line="480" w:lineRule="auto"/>
        <w:rPr>
          <w:rFonts w:ascii="Times New Roman" w:eastAsia="Times New Roman" w:hAnsi="Times New Roman" w:cs="Times New Roman"/>
          <w:i/>
          <w:iCs/>
          <w:color w:val="A0504F"/>
          <w:sz w:val="24"/>
          <w:szCs w:val="24"/>
        </w:rPr>
      </w:pPr>
      <w:r>
        <w:rPr>
          <w:rFonts w:ascii="Times New Roman" w:eastAsia="Times New Roman" w:hAnsi="Times New Roman" w:cs="Times New Roman"/>
          <w:i/>
          <w:iCs/>
          <w:color w:val="A0504F"/>
          <w:sz w:val="24"/>
          <w:szCs w:val="24"/>
        </w:rPr>
        <w:t>APPENDIX C: Raw Data on countries with abundant natural resources</w:t>
      </w:r>
    </w:p>
    <w:p w14:paraId="331C59FB"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BRI-related Investment and Construction Spending in Algeria</w:t>
      </w:r>
    </w:p>
    <w:p w14:paraId="61B4CDF8"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3CD2A35" wp14:editId="00D91CC2">
            <wp:extent cx="5943600" cy="3136900"/>
            <wp:effectExtent l="0" t="0" r="0" b="0"/>
            <wp:docPr id="2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1"/>
                    <a:srcRect/>
                    <a:stretch>
                      <a:fillRect/>
                    </a:stretch>
                  </pic:blipFill>
                  <pic:spPr>
                    <a:xfrm>
                      <a:off x="0" y="0"/>
                      <a:ext cx="5943600" cy="3136900"/>
                    </a:xfrm>
                    <a:prstGeom prst="rect">
                      <a:avLst/>
                    </a:prstGeom>
                    <a:ln/>
                  </pic:spPr>
                </pic:pic>
              </a:graphicData>
            </a:graphic>
          </wp:inline>
        </w:drawing>
      </w:r>
    </w:p>
    <w:p w14:paraId="704E907D" w14:textId="77777777" w:rsidR="00AF6963" w:rsidRDefault="00AF6963">
      <w:pPr>
        <w:widowControl w:val="0"/>
        <w:spacing w:after="0" w:line="480" w:lineRule="auto"/>
        <w:rPr>
          <w:rFonts w:ascii="Times New Roman" w:eastAsia="Times New Roman" w:hAnsi="Times New Roman" w:cs="Times New Roman"/>
          <w:sz w:val="24"/>
          <w:szCs w:val="24"/>
        </w:rPr>
      </w:pPr>
    </w:p>
    <w:p w14:paraId="2FC902CC" w14:textId="77777777" w:rsidR="00E75197" w:rsidRDefault="00E75197">
      <w:pPr>
        <w:widowControl w:val="0"/>
        <w:spacing w:after="0" w:line="360" w:lineRule="auto"/>
        <w:rPr>
          <w:rFonts w:ascii="Times New Roman" w:eastAsia="Times New Roman" w:hAnsi="Times New Roman" w:cs="Times New Roman"/>
          <w:sz w:val="24"/>
          <w:szCs w:val="24"/>
        </w:rPr>
      </w:pPr>
    </w:p>
    <w:p w14:paraId="1109ECBF" w14:textId="38A868CB" w:rsidR="00AF6963" w:rsidRDefault="00000000">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BRI-related Investment and Construction Spending in Russia:</w:t>
      </w:r>
    </w:p>
    <w:p w14:paraId="44CC0D10"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430E85D" wp14:editId="034EFFDF">
            <wp:extent cx="5943600" cy="32766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2"/>
                    <a:srcRect/>
                    <a:stretch>
                      <a:fillRect/>
                    </a:stretch>
                  </pic:blipFill>
                  <pic:spPr>
                    <a:xfrm>
                      <a:off x="0" y="0"/>
                      <a:ext cx="5943600" cy="3276600"/>
                    </a:xfrm>
                    <a:prstGeom prst="rect">
                      <a:avLst/>
                    </a:prstGeom>
                    <a:ln/>
                  </pic:spPr>
                </pic:pic>
              </a:graphicData>
            </a:graphic>
          </wp:inline>
        </w:drawing>
      </w:r>
    </w:p>
    <w:p w14:paraId="631E090F"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8BAC2F4" wp14:editId="7FD5B78F">
            <wp:extent cx="5943600" cy="3302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3"/>
                    <a:srcRect/>
                    <a:stretch>
                      <a:fillRect/>
                    </a:stretch>
                  </pic:blipFill>
                  <pic:spPr>
                    <a:xfrm>
                      <a:off x="0" y="0"/>
                      <a:ext cx="5943600" cy="3302000"/>
                    </a:xfrm>
                    <a:prstGeom prst="rect">
                      <a:avLst/>
                    </a:prstGeom>
                    <a:ln/>
                  </pic:spPr>
                </pic:pic>
              </a:graphicData>
            </a:graphic>
          </wp:inline>
        </w:drawing>
      </w:r>
    </w:p>
    <w:p w14:paraId="124E7405" w14:textId="77777777" w:rsidR="00AF6963" w:rsidRDefault="00AF6963">
      <w:pPr>
        <w:widowControl w:val="0"/>
        <w:spacing w:after="0" w:line="480" w:lineRule="auto"/>
        <w:rPr>
          <w:rFonts w:ascii="Times New Roman" w:eastAsia="Times New Roman" w:hAnsi="Times New Roman" w:cs="Times New Roman"/>
          <w:sz w:val="24"/>
          <w:szCs w:val="24"/>
        </w:rPr>
      </w:pPr>
    </w:p>
    <w:p w14:paraId="66C5A90C" w14:textId="77777777" w:rsidR="00AF6963" w:rsidRDefault="00AF6963">
      <w:pPr>
        <w:widowControl w:val="0"/>
        <w:spacing w:after="0" w:line="480" w:lineRule="auto"/>
        <w:rPr>
          <w:rFonts w:ascii="Times New Roman" w:eastAsia="Times New Roman" w:hAnsi="Times New Roman" w:cs="Times New Roman"/>
          <w:sz w:val="24"/>
          <w:szCs w:val="24"/>
        </w:rPr>
      </w:pPr>
    </w:p>
    <w:p w14:paraId="47F32B44" w14:textId="77777777" w:rsidR="00AF6963" w:rsidRDefault="00AF6963">
      <w:pPr>
        <w:widowControl w:val="0"/>
        <w:spacing w:after="0" w:line="480" w:lineRule="auto"/>
        <w:rPr>
          <w:rFonts w:ascii="Times New Roman" w:eastAsia="Times New Roman" w:hAnsi="Times New Roman" w:cs="Times New Roman"/>
          <w:sz w:val="24"/>
          <w:szCs w:val="24"/>
        </w:rPr>
      </w:pPr>
    </w:p>
    <w:p w14:paraId="56CFBDD9" w14:textId="77777777" w:rsidR="00AF6963" w:rsidRDefault="00000000">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BRI-related Investment and Construction Spending in Angola:</w:t>
      </w:r>
    </w:p>
    <w:p w14:paraId="7AB3081E"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4EFE8E1" wp14:editId="42C5E351">
            <wp:extent cx="5943600" cy="3289300"/>
            <wp:effectExtent l="0" t="0" r="0" b="0"/>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4"/>
                    <a:srcRect/>
                    <a:stretch>
                      <a:fillRect/>
                    </a:stretch>
                  </pic:blipFill>
                  <pic:spPr>
                    <a:xfrm>
                      <a:off x="0" y="0"/>
                      <a:ext cx="5943600" cy="3289300"/>
                    </a:xfrm>
                    <a:prstGeom prst="rect">
                      <a:avLst/>
                    </a:prstGeom>
                    <a:ln/>
                  </pic:spPr>
                </pic:pic>
              </a:graphicData>
            </a:graphic>
          </wp:inline>
        </w:drawing>
      </w:r>
    </w:p>
    <w:p w14:paraId="414B6261" w14:textId="77777777" w:rsidR="00AF6963" w:rsidRDefault="00000000">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BRI-related Investment and Construction Spending in Oman:</w:t>
      </w:r>
    </w:p>
    <w:p w14:paraId="040A0A45"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CAE83A0" wp14:editId="0DFC6BDE">
            <wp:extent cx="5943600" cy="2984500"/>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5"/>
                    <a:srcRect/>
                    <a:stretch>
                      <a:fillRect/>
                    </a:stretch>
                  </pic:blipFill>
                  <pic:spPr>
                    <a:xfrm>
                      <a:off x="0" y="0"/>
                      <a:ext cx="5943600" cy="2984500"/>
                    </a:xfrm>
                    <a:prstGeom prst="rect">
                      <a:avLst/>
                    </a:prstGeom>
                    <a:ln/>
                  </pic:spPr>
                </pic:pic>
              </a:graphicData>
            </a:graphic>
          </wp:inline>
        </w:drawing>
      </w:r>
    </w:p>
    <w:p w14:paraId="1038A32E" w14:textId="77777777" w:rsidR="00AF6963" w:rsidRDefault="00AF6963">
      <w:pPr>
        <w:widowControl w:val="0"/>
        <w:spacing w:after="0" w:line="360" w:lineRule="auto"/>
        <w:rPr>
          <w:rFonts w:ascii="Times New Roman" w:eastAsia="Times New Roman" w:hAnsi="Times New Roman" w:cs="Times New Roman"/>
          <w:sz w:val="24"/>
          <w:szCs w:val="24"/>
        </w:rPr>
      </w:pPr>
    </w:p>
    <w:p w14:paraId="67D8D255" w14:textId="77777777" w:rsidR="00AF6963" w:rsidRDefault="00AF6963">
      <w:pPr>
        <w:widowControl w:val="0"/>
        <w:spacing w:after="0" w:line="360" w:lineRule="auto"/>
        <w:rPr>
          <w:rFonts w:ascii="Times New Roman" w:eastAsia="Times New Roman" w:hAnsi="Times New Roman" w:cs="Times New Roman"/>
          <w:sz w:val="24"/>
          <w:szCs w:val="24"/>
        </w:rPr>
      </w:pPr>
    </w:p>
    <w:p w14:paraId="0409F0AE" w14:textId="77777777" w:rsidR="00AF6963" w:rsidRDefault="00AF6963">
      <w:pPr>
        <w:widowControl w:val="0"/>
        <w:spacing w:after="0" w:line="360" w:lineRule="auto"/>
        <w:rPr>
          <w:rFonts w:ascii="Times New Roman" w:eastAsia="Times New Roman" w:hAnsi="Times New Roman" w:cs="Times New Roman"/>
          <w:sz w:val="24"/>
          <w:szCs w:val="24"/>
        </w:rPr>
      </w:pPr>
    </w:p>
    <w:p w14:paraId="0C6308F9" w14:textId="77777777" w:rsidR="00AF6963" w:rsidRDefault="00AF6963">
      <w:pPr>
        <w:widowControl w:val="0"/>
        <w:spacing w:after="0" w:line="360" w:lineRule="auto"/>
        <w:rPr>
          <w:rFonts w:ascii="Times New Roman" w:eastAsia="Times New Roman" w:hAnsi="Times New Roman" w:cs="Times New Roman"/>
          <w:sz w:val="24"/>
          <w:szCs w:val="24"/>
        </w:rPr>
      </w:pPr>
    </w:p>
    <w:p w14:paraId="4E5BF00E" w14:textId="77777777" w:rsidR="00AF6963" w:rsidRDefault="00000000">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BRI-related Investment and Construction Spending in UAE:</w:t>
      </w:r>
    </w:p>
    <w:p w14:paraId="38151A62"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7C2D5DA" wp14:editId="7892DA7E">
            <wp:extent cx="5943600" cy="3060700"/>
            <wp:effectExtent l="0" t="0" r="0" b="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6"/>
                    <a:srcRect/>
                    <a:stretch>
                      <a:fillRect/>
                    </a:stretch>
                  </pic:blipFill>
                  <pic:spPr>
                    <a:xfrm>
                      <a:off x="0" y="0"/>
                      <a:ext cx="5943600" cy="3060700"/>
                    </a:xfrm>
                    <a:prstGeom prst="rect">
                      <a:avLst/>
                    </a:prstGeom>
                    <a:ln/>
                  </pic:spPr>
                </pic:pic>
              </a:graphicData>
            </a:graphic>
          </wp:inline>
        </w:drawing>
      </w:r>
    </w:p>
    <w:p w14:paraId="1CA1FE84"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4D50CDC" wp14:editId="6C5B1BC7">
            <wp:extent cx="5943600" cy="3073400"/>
            <wp:effectExtent l="0" t="0" r="0" b="0"/>
            <wp:docPr id="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7"/>
                    <a:srcRect/>
                    <a:stretch>
                      <a:fillRect/>
                    </a:stretch>
                  </pic:blipFill>
                  <pic:spPr>
                    <a:xfrm>
                      <a:off x="0" y="0"/>
                      <a:ext cx="5943600" cy="3073400"/>
                    </a:xfrm>
                    <a:prstGeom prst="rect">
                      <a:avLst/>
                    </a:prstGeom>
                    <a:ln/>
                  </pic:spPr>
                </pic:pic>
              </a:graphicData>
            </a:graphic>
          </wp:inline>
        </w:drawing>
      </w:r>
    </w:p>
    <w:p w14:paraId="0DADCA6C" w14:textId="77777777" w:rsidR="00AF6963" w:rsidRDefault="00AF6963">
      <w:pPr>
        <w:widowControl w:val="0"/>
        <w:spacing w:after="0" w:line="360" w:lineRule="auto"/>
        <w:rPr>
          <w:rFonts w:ascii="Times New Roman" w:eastAsia="Times New Roman" w:hAnsi="Times New Roman" w:cs="Times New Roman"/>
          <w:sz w:val="24"/>
          <w:szCs w:val="24"/>
        </w:rPr>
      </w:pPr>
    </w:p>
    <w:p w14:paraId="5F3B5B1D" w14:textId="77777777" w:rsidR="00AF6963" w:rsidRDefault="00AF6963">
      <w:pPr>
        <w:widowControl w:val="0"/>
        <w:spacing w:after="0" w:line="360" w:lineRule="auto"/>
        <w:rPr>
          <w:rFonts w:ascii="Times New Roman" w:eastAsia="Times New Roman" w:hAnsi="Times New Roman" w:cs="Times New Roman"/>
          <w:sz w:val="24"/>
          <w:szCs w:val="24"/>
        </w:rPr>
      </w:pPr>
    </w:p>
    <w:p w14:paraId="03234520" w14:textId="77777777" w:rsidR="00AF6963" w:rsidRDefault="00AF6963">
      <w:pPr>
        <w:widowControl w:val="0"/>
        <w:spacing w:after="0" w:line="360" w:lineRule="auto"/>
        <w:rPr>
          <w:rFonts w:ascii="Times New Roman" w:eastAsia="Times New Roman" w:hAnsi="Times New Roman" w:cs="Times New Roman"/>
          <w:sz w:val="24"/>
          <w:szCs w:val="24"/>
        </w:rPr>
      </w:pPr>
    </w:p>
    <w:p w14:paraId="7B1F8B14" w14:textId="77777777" w:rsidR="00AF6963" w:rsidRDefault="00AF6963">
      <w:pPr>
        <w:widowControl w:val="0"/>
        <w:spacing w:after="0" w:line="360" w:lineRule="auto"/>
        <w:rPr>
          <w:rFonts w:ascii="Times New Roman" w:eastAsia="Times New Roman" w:hAnsi="Times New Roman" w:cs="Times New Roman"/>
          <w:sz w:val="24"/>
          <w:szCs w:val="24"/>
        </w:rPr>
      </w:pPr>
    </w:p>
    <w:p w14:paraId="04276FCA" w14:textId="77777777" w:rsidR="00AF6963" w:rsidRDefault="00AF6963">
      <w:pPr>
        <w:widowControl w:val="0"/>
        <w:spacing w:after="0" w:line="360" w:lineRule="auto"/>
        <w:rPr>
          <w:rFonts w:ascii="Times New Roman" w:eastAsia="Times New Roman" w:hAnsi="Times New Roman" w:cs="Times New Roman"/>
          <w:sz w:val="24"/>
          <w:szCs w:val="24"/>
        </w:rPr>
      </w:pPr>
    </w:p>
    <w:p w14:paraId="77F8439D" w14:textId="77777777" w:rsidR="00AF6963" w:rsidRDefault="00000000">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BRI-related Investment and Construction Spending in Chile:</w:t>
      </w:r>
    </w:p>
    <w:p w14:paraId="0A46D6D3"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E45828C" wp14:editId="4BAE2C38">
            <wp:extent cx="5943600" cy="3111500"/>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8"/>
                    <a:srcRect/>
                    <a:stretch>
                      <a:fillRect/>
                    </a:stretch>
                  </pic:blipFill>
                  <pic:spPr>
                    <a:xfrm>
                      <a:off x="0" y="0"/>
                      <a:ext cx="5943600" cy="3111500"/>
                    </a:xfrm>
                    <a:prstGeom prst="rect">
                      <a:avLst/>
                    </a:prstGeom>
                    <a:ln/>
                  </pic:spPr>
                </pic:pic>
              </a:graphicData>
            </a:graphic>
          </wp:inline>
        </w:drawing>
      </w:r>
    </w:p>
    <w:p w14:paraId="5AAC08A2" w14:textId="77777777" w:rsidR="00AF6963" w:rsidRDefault="00000000">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BRI-related Investment and Construction Spending in Bolivia:</w:t>
      </w:r>
    </w:p>
    <w:p w14:paraId="14D42098" w14:textId="77777777" w:rsidR="00AF6963"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3E347D1" wp14:editId="71471735">
            <wp:extent cx="5943600" cy="30734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9"/>
                    <a:srcRect/>
                    <a:stretch>
                      <a:fillRect/>
                    </a:stretch>
                  </pic:blipFill>
                  <pic:spPr>
                    <a:xfrm>
                      <a:off x="0" y="0"/>
                      <a:ext cx="5943600" cy="3073400"/>
                    </a:xfrm>
                    <a:prstGeom prst="rect">
                      <a:avLst/>
                    </a:prstGeom>
                    <a:ln/>
                  </pic:spPr>
                </pic:pic>
              </a:graphicData>
            </a:graphic>
          </wp:inline>
        </w:drawing>
      </w:r>
    </w:p>
    <w:sectPr w:rsidR="00AF6963">
      <w:headerReference w:type="default" r:id="rId80"/>
      <w:footerReference w:type="default" r:id="rId8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5DE57" w14:textId="77777777" w:rsidR="00DE729A" w:rsidRDefault="00DE729A">
      <w:pPr>
        <w:spacing w:after="0" w:line="240" w:lineRule="auto"/>
      </w:pPr>
      <w:r>
        <w:separator/>
      </w:r>
    </w:p>
  </w:endnote>
  <w:endnote w:type="continuationSeparator" w:id="0">
    <w:p w14:paraId="09B9BFCE" w14:textId="77777777" w:rsidR="00DE729A" w:rsidRDefault="00DE7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69BEA3E-E7E4-8341-90E8-19BA1B7F75A9}"/>
    <w:embedBold r:id="rId2" w:fontKey="{70B4AF59-C6B8-0146-9B60-55B314C50938}"/>
    <w:embedItalic r:id="rId3" w:fontKey="{B6AC6A4E-B05C-4948-99F3-626C330860A5}"/>
    <w:embedBoldItalic r:id="rId4" w:fontKey="{1665FE89-514B-754C-AC2B-1F4CCA5F470C}"/>
  </w:font>
  <w:font w:name="Open Sans">
    <w:panose1 w:val="020B0606030504020204"/>
    <w:charset w:val="00"/>
    <w:family w:val="swiss"/>
    <w:pitch w:val="variable"/>
    <w:sig w:usb0="E00002EF" w:usb1="4000205B" w:usb2="00000028" w:usb3="00000000" w:csb0="0000019F" w:csb1="00000000"/>
    <w:embedRegular r:id="rId5" w:fontKey="{5491B29A-574B-D94D-B5F6-D8153582C775}"/>
    <w:embedItalic r:id="rId6" w:fontKey="{A9BD7F20-CF49-6E4A-AD05-1EBB3199CCDD}"/>
  </w:font>
  <w:font w:name="Crimson Text">
    <w:charset w:val="00"/>
    <w:family w:val="auto"/>
    <w:pitch w:val="default"/>
    <w:embedRegular r:id="rId7" w:fontKey="{1FD49D1D-2A05-6347-9501-DC5D77EADE96}"/>
    <w:embedBold r:id="rId8" w:fontKey="{31212DDA-3371-A741-B460-3EF666E24582}"/>
    <w:embedItalic r:id="rId9" w:fontKey="{CC71885A-4B42-144C-9793-528525DC383C}"/>
    <w:embedBoldItalic r:id="rId10" w:fontKey="{C7B378EA-E464-7349-AD13-797E5A434C0F}"/>
  </w:font>
  <w:font w:name="Gungsuh">
    <w:panose1 w:val="02030600000101010101"/>
    <w:charset w:val="81"/>
    <w:family w:val="roman"/>
    <w:pitch w:val="variable"/>
    <w:sig w:usb0="B00002AF" w:usb1="69D77CFB" w:usb2="00000030" w:usb3="00000000" w:csb0="0008009F" w:csb1="00000000"/>
    <w:embedRegular r:id="rId11" w:subsetted="1" w:fontKey="{969238AC-4731-E549-B2D4-B809A5A5B8A8}"/>
  </w:font>
  <w:font w:name="Arial">
    <w:panose1 w:val="020B0604020202020204"/>
    <w:charset w:val="00"/>
    <w:family w:val="swiss"/>
    <w:pitch w:val="variable"/>
    <w:sig w:usb0="E0002AFF" w:usb1="C0007843" w:usb2="00000009" w:usb3="00000000" w:csb0="000001FF" w:csb1="00000000"/>
    <w:embedRegular r:id="rId12" w:fontKey="{1FEF1E9F-F645-E54D-A0C0-F3144CA9245B}"/>
  </w:font>
  <w:font w:name="Calibri">
    <w:panose1 w:val="020F0502020204030204"/>
    <w:charset w:val="00"/>
    <w:family w:val="swiss"/>
    <w:pitch w:val="variable"/>
    <w:sig w:usb0="E0002AFF" w:usb1="C000247B" w:usb2="00000009" w:usb3="00000000" w:csb0="000001FF" w:csb1="00000000"/>
    <w:embedRegular r:id="rId13" w:fontKey="{CDFCB1B3-89B6-504A-AB9C-909E06231DCA}"/>
  </w:font>
  <w:font w:name="Cambria">
    <w:panose1 w:val="02040503050406030204"/>
    <w:charset w:val="00"/>
    <w:family w:val="roman"/>
    <w:pitch w:val="variable"/>
    <w:sig w:usb0="E00002FF" w:usb1="400004FF" w:usb2="00000000" w:usb3="00000000" w:csb0="0000019F" w:csb1="00000000"/>
    <w:embedRegular r:id="rId14" w:fontKey="{948D5039-49AD-444F-98AA-9730CEDF6E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4EB7" w14:textId="77777777" w:rsidR="00AF6963" w:rsidRDefault="00000000">
    <w:pPr>
      <w:pBdr>
        <w:top w:val="nil"/>
        <w:left w:val="nil"/>
        <w:bottom w:val="nil"/>
        <w:right w:val="nil"/>
        <w:between w:val="nil"/>
      </w:pBdr>
      <w:tabs>
        <w:tab w:val="center" w:pos="4680"/>
        <w:tab w:val="right" w:pos="9360"/>
      </w:tabs>
      <w:spacing w:after="0" w:line="240" w:lineRule="auto"/>
      <w:jc w:val="right"/>
      <w:rPr>
        <w:rFonts w:ascii="Crimson Text" w:eastAsia="Crimson Text" w:hAnsi="Crimson Text" w:cs="Crimson Text"/>
        <w:color w:val="7A0808"/>
        <w:sz w:val="24"/>
        <w:szCs w:val="24"/>
      </w:rPr>
    </w:pPr>
    <w:r>
      <w:rPr>
        <w:rFonts w:ascii="Crimson Text" w:eastAsia="Crimson Text" w:hAnsi="Crimson Text" w:cs="Crimson Text"/>
        <w:color w:val="7A0808"/>
        <w:sz w:val="24"/>
        <w:szCs w:val="24"/>
      </w:rPr>
      <w:t xml:space="preserve">| </w:t>
    </w:r>
    <w:r>
      <w:rPr>
        <w:rFonts w:ascii="Crimson Text" w:eastAsia="Crimson Text" w:hAnsi="Crimson Text" w:cs="Crimson Text"/>
        <w:color w:val="7A0808"/>
        <w:sz w:val="24"/>
        <w:szCs w:val="24"/>
      </w:rPr>
      <w:fldChar w:fldCharType="begin"/>
    </w:r>
    <w:r>
      <w:rPr>
        <w:rFonts w:ascii="Crimson Text" w:eastAsia="Crimson Text" w:hAnsi="Crimson Text" w:cs="Crimson Text"/>
        <w:color w:val="7A0808"/>
        <w:sz w:val="24"/>
        <w:szCs w:val="24"/>
      </w:rPr>
      <w:instrText>PAGE</w:instrText>
    </w:r>
    <w:r>
      <w:rPr>
        <w:rFonts w:ascii="Crimson Text" w:eastAsia="Crimson Text" w:hAnsi="Crimson Text" w:cs="Crimson Text"/>
        <w:color w:val="7A0808"/>
        <w:sz w:val="24"/>
        <w:szCs w:val="24"/>
      </w:rPr>
      <w:fldChar w:fldCharType="separate"/>
    </w:r>
    <w:r w:rsidR="00E75197">
      <w:rPr>
        <w:rFonts w:ascii="Crimson Text" w:eastAsia="Crimson Text" w:hAnsi="Crimson Text" w:cs="Crimson Text"/>
        <w:noProof/>
        <w:color w:val="7A0808"/>
        <w:sz w:val="24"/>
        <w:szCs w:val="24"/>
      </w:rPr>
      <w:t>1</w:t>
    </w:r>
    <w:r>
      <w:rPr>
        <w:rFonts w:ascii="Crimson Text" w:eastAsia="Crimson Text" w:hAnsi="Crimson Text" w:cs="Crimson Text"/>
        <w:color w:val="7A0808"/>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B11E8" w14:textId="77777777" w:rsidR="00DE729A" w:rsidRDefault="00DE729A">
      <w:pPr>
        <w:spacing w:after="0" w:line="240" w:lineRule="auto"/>
      </w:pPr>
      <w:r>
        <w:separator/>
      </w:r>
    </w:p>
  </w:footnote>
  <w:footnote w:type="continuationSeparator" w:id="0">
    <w:p w14:paraId="6C7D69C6" w14:textId="77777777" w:rsidR="00DE729A" w:rsidRDefault="00DE729A">
      <w:pPr>
        <w:spacing w:after="0" w:line="240" w:lineRule="auto"/>
      </w:pPr>
      <w:r>
        <w:continuationSeparator/>
      </w:r>
    </w:p>
  </w:footnote>
  <w:footnote w:id="1">
    <w:p w14:paraId="2C526840"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Du, Michael M. "China's "One Belt, One Road" Initiative: Context, Focus, Institutions, and Implications." </w:t>
      </w:r>
      <w:r>
        <w:rPr>
          <w:rFonts w:ascii="Times New Roman" w:eastAsia="Times New Roman" w:hAnsi="Times New Roman" w:cs="Times New Roman"/>
          <w:i/>
          <w:iCs/>
          <w:color w:val="7A0808"/>
          <w:sz w:val="20"/>
          <w:szCs w:val="20"/>
        </w:rPr>
        <w:t>The Chinese Journal of Global Governance</w:t>
      </w:r>
      <w:r>
        <w:rPr>
          <w:rFonts w:ascii="Times New Roman" w:eastAsia="Times New Roman" w:hAnsi="Times New Roman" w:cs="Times New Roman"/>
          <w:color w:val="7A0808"/>
          <w:sz w:val="20"/>
          <w:szCs w:val="20"/>
        </w:rPr>
        <w:t xml:space="preserve"> 2, no. 1 (2016): 31.</w:t>
      </w:r>
    </w:p>
  </w:footnote>
  <w:footnote w:id="2">
    <w:p w14:paraId="70763245"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w:t>
      </w:r>
    </w:p>
  </w:footnote>
  <w:footnote w:id="3">
    <w:p w14:paraId="017364CD"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Gungsuh" w:eastAsia="Gungsuh" w:hAnsi="Gungsuh" w:cs="Gungsuh"/>
          <w:color w:val="7A0808"/>
          <w:sz w:val="20"/>
          <w:szCs w:val="20"/>
        </w:rPr>
        <w:t xml:space="preserve"> 郑成琼. “What Are Six Economic Corridors under Belt and Road Initiative?” The State Council Information Office of the People's Republic of China. Accessed December 8, 2022.</w:t>
      </w:r>
      <w:hyperlink r:id="rId1">
        <w:r>
          <w:rPr>
            <w:rFonts w:ascii="Times New Roman" w:eastAsia="Times New Roman" w:hAnsi="Times New Roman" w:cs="Times New Roman"/>
            <w:color w:val="7A0808"/>
            <w:sz w:val="20"/>
            <w:szCs w:val="20"/>
          </w:rPr>
          <w:t xml:space="preserve"> </w:t>
        </w:r>
      </w:hyperlink>
      <w:hyperlink r:id="rId2">
        <w:r>
          <w:rPr>
            <w:rFonts w:ascii="Times New Roman" w:eastAsia="Times New Roman" w:hAnsi="Times New Roman" w:cs="Times New Roman"/>
            <w:color w:val="7A0808"/>
            <w:sz w:val="20"/>
            <w:szCs w:val="20"/>
            <w:u w:val="single"/>
          </w:rPr>
          <w:t>http://english.scio.gov.cn/beltandroad/2020-08/04/content_76345602.htm</w:t>
        </w:r>
      </w:hyperlink>
      <w:r>
        <w:rPr>
          <w:rFonts w:ascii="Times New Roman" w:eastAsia="Times New Roman" w:hAnsi="Times New Roman" w:cs="Times New Roman"/>
          <w:color w:val="7A0808"/>
          <w:sz w:val="20"/>
          <w:szCs w:val="20"/>
        </w:rPr>
        <w:t>.</w:t>
      </w:r>
    </w:p>
  </w:footnote>
  <w:footnote w:id="4">
    <w:p w14:paraId="42EEB6F5" w14:textId="77777777" w:rsidR="00AF6963" w:rsidRDefault="00000000">
      <w:pPr>
        <w:spacing w:after="0" w:line="240" w:lineRule="auto"/>
        <w:rPr>
          <w:rFonts w:ascii="Times New Roman" w:eastAsia="Times New Roman" w:hAnsi="Times New Roman" w:cs="Times New Roman"/>
          <w:i/>
          <w:iCs/>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Aweis Osman, </w:t>
      </w:r>
      <w:r>
        <w:rPr>
          <w:rFonts w:ascii="Times New Roman" w:eastAsia="Times New Roman" w:hAnsi="Times New Roman" w:cs="Times New Roman"/>
          <w:i/>
          <w:iCs/>
          <w:color w:val="7A0808"/>
          <w:sz w:val="20"/>
          <w:szCs w:val="20"/>
        </w:rPr>
        <w:t>China’s Maritime Silk Road and the Future of African Arbitration</w:t>
      </w:r>
      <w:r>
        <w:rPr>
          <w:rFonts w:ascii="Times New Roman" w:eastAsia="Times New Roman" w:hAnsi="Times New Roman" w:cs="Times New Roman"/>
          <w:color w:val="7A0808"/>
          <w:sz w:val="20"/>
          <w:szCs w:val="20"/>
        </w:rPr>
        <w:t xml:space="preserve">, in </w:t>
      </w:r>
      <w:r>
        <w:rPr>
          <w:rFonts w:ascii="Times New Roman" w:eastAsia="Times New Roman" w:hAnsi="Times New Roman" w:cs="Times New Roman"/>
          <w:i/>
          <w:iCs/>
          <w:color w:val="7A0808"/>
          <w:sz w:val="20"/>
          <w:szCs w:val="20"/>
        </w:rPr>
        <w:t>The Belt and Road Initiative:</w:t>
      </w:r>
    </w:p>
    <w:p w14:paraId="5AEDAE78" w14:textId="77777777" w:rsidR="00AF6963" w:rsidRDefault="00000000">
      <w:pPr>
        <w:spacing w:after="0" w:line="240" w:lineRule="auto"/>
        <w:rPr>
          <w:rFonts w:ascii="Times New Roman" w:eastAsia="Times New Roman" w:hAnsi="Times New Roman" w:cs="Times New Roman"/>
          <w:color w:val="7A0808"/>
          <w:sz w:val="20"/>
          <w:szCs w:val="20"/>
        </w:rPr>
      </w:pPr>
      <w:r>
        <w:rPr>
          <w:rFonts w:ascii="Times New Roman" w:eastAsia="Times New Roman" w:hAnsi="Times New Roman" w:cs="Times New Roman"/>
          <w:i/>
          <w:iCs/>
          <w:color w:val="7A0808"/>
          <w:sz w:val="20"/>
          <w:szCs w:val="20"/>
        </w:rPr>
        <w:t xml:space="preserve">Law, Economics, and Politics </w:t>
      </w:r>
      <w:r>
        <w:rPr>
          <w:rFonts w:ascii="Times New Roman" w:eastAsia="Times New Roman" w:hAnsi="Times New Roman" w:cs="Times New Roman"/>
          <w:color w:val="7A0808"/>
          <w:sz w:val="20"/>
          <w:szCs w:val="20"/>
        </w:rPr>
        <w:t>734, 734-735 (Julien Chaisse &amp; Jędrzej Górski eds., 2018).</w:t>
      </w:r>
    </w:p>
  </w:footnote>
  <w:footnote w:id="5">
    <w:p w14:paraId="6B4B1240"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WANG, Christoph NEDOPIL. “Countries of the Belt and Road Initiative (BRI).” Green Finance &amp; Development Center, July 2022. https://greenfdc.org/countries-of-the-belt-and-road-initiative-bri/.   </w:t>
      </w:r>
    </w:p>
  </w:footnote>
  <w:footnote w:id="6">
    <w:p w14:paraId="3A08073A"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 xml:space="preserve">Ye, Min, Cambridge Core All Books, and Cambridge Core EBA eBooks Complete Collection. </w:t>
      </w:r>
      <w:r>
        <w:rPr>
          <w:rFonts w:ascii="Times New Roman" w:eastAsia="Times New Roman" w:hAnsi="Times New Roman" w:cs="Times New Roman"/>
          <w:i/>
          <w:iCs/>
          <w:color w:val="7A0808"/>
          <w:sz w:val="20"/>
          <w:szCs w:val="20"/>
        </w:rPr>
        <w:t>The Belt Road and Beyond</w:t>
      </w:r>
      <w:r>
        <w:rPr>
          <w:rFonts w:ascii="Times New Roman" w:eastAsia="Times New Roman" w:hAnsi="Times New Roman" w:cs="Times New Roman"/>
          <w:color w:val="7A0808"/>
          <w:sz w:val="20"/>
          <w:szCs w:val="20"/>
        </w:rPr>
        <w:t>. New York, NY; Cambridge, United Kingdom;: Cambridge University Press, 2020, 7.</w:t>
      </w:r>
    </w:p>
  </w:footnote>
  <w:footnote w:id="7">
    <w:p w14:paraId="610A1E26"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OECD, "The Belt and Road Initiative in the global trade, investment and finance landscape", </w:t>
      </w:r>
      <w:r>
        <w:rPr>
          <w:rFonts w:ascii="Times New Roman" w:eastAsia="Times New Roman" w:hAnsi="Times New Roman" w:cs="Times New Roman"/>
          <w:i/>
          <w:iCs/>
          <w:color w:val="7A0808"/>
          <w:sz w:val="20"/>
          <w:szCs w:val="20"/>
        </w:rPr>
        <w:t>OECD Business and Finance Outlook 2018</w:t>
      </w:r>
      <w:r>
        <w:rPr>
          <w:rFonts w:ascii="Times New Roman" w:eastAsia="Times New Roman" w:hAnsi="Times New Roman" w:cs="Times New Roman"/>
          <w:color w:val="7A0808"/>
          <w:sz w:val="20"/>
          <w:szCs w:val="20"/>
        </w:rPr>
        <w:t>, OECD Publishing, Paris, September 2018.</w:t>
      </w:r>
      <w:hyperlink r:id="rId3">
        <w:r>
          <w:rPr>
            <w:rFonts w:ascii="Times New Roman" w:eastAsia="Times New Roman" w:hAnsi="Times New Roman" w:cs="Times New Roman"/>
            <w:color w:val="7A0808"/>
            <w:sz w:val="20"/>
            <w:szCs w:val="20"/>
          </w:rPr>
          <w:t xml:space="preserve"> </w:t>
        </w:r>
      </w:hyperlink>
      <w:hyperlink r:id="rId4">
        <w:r>
          <w:rPr>
            <w:rFonts w:ascii="Times New Roman" w:eastAsia="Times New Roman" w:hAnsi="Times New Roman" w:cs="Times New Roman"/>
            <w:color w:val="7A0808"/>
            <w:sz w:val="20"/>
            <w:szCs w:val="20"/>
            <w:u w:val="single"/>
          </w:rPr>
          <w:t>https://doi.org/10.1787/bus_fin_out-2018-6-en</w:t>
        </w:r>
      </w:hyperlink>
      <w:r>
        <w:rPr>
          <w:rFonts w:ascii="Times New Roman" w:eastAsia="Times New Roman" w:hAnsi="Times New Roman" w:cs="Times New Roman"/>
          <w:color w:val="7A0808"/>
          <w:sz w:val="20"/>
          <w:szCs w:val="20"/>
        </w:rPr>
        <w:t>, 4.</w:t>
      </w:r>
    </w:p>
  </w:footnote>
  <w:footnote w:id="8">
    <w:p w14:paraId="5C338F17"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7A0808"/>
          <w:sz w:val="20"/>
          <w:szCs w:val="20"/>
        </w:rPr>
        <w:t xml:space="preserve">State Council of the People's Republic of China. “Action Plan on the Belt and Road Initiative.” Initiative offers Road Map for Peace, prosperity. Accessed December 13, 2022. http://english.www.gov.cn/archive/publications/2015/03/30/content_281475080249035.htm. </w:t>
      </w:r>
    </w:p>
  </w:footnote>
  <w:footnote w:id="9">
    <w:p w14:paraId="410545CA"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 xml:space="preserve">Du, Michael M. "China's "One Belt, One Road" Initiative: Context, Focus, Institutions, and Implications." </w:t>
      </w:r>
      <w:r>
        <w:rPr>
          <w:rFonts w:ascii="Times New Roman" w:eastAsia="Times New Roman" w:hAnsi="Times New Roman" w:cs="Times New Roman"/>
          <w:i/>
          <w:iCs/>
          <w:color w:val="7A0808"/>
          <w:sz w:val="20"/>
          <w:szCs w:val="20"/>
        </w:rPr>
        <w:t>The Chinese Journal of Global Governance</w:t>
      </w:r>
      <w:r>
        <w:rPr>
          <w:rFonts w:ascii="Times New Roman" w:eastAsia="Times New Roman" w:hAnsi="Times New Roman" w:cs="Times New Roman"/>
          <w:color w:val="7A0808"/>
          <w:sz w:val="20"/>
          <w:szCs w:val="20"/>
        </w:rPr>
        <w:t xml:space="preserve"> 2, no. 1 (2016): 32.</w:t>
      </w:r>
    </w:p>
  </w:footnote>
  <w:footnote w:id="10">
    <w:p w14:paraId="02532776"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 xml:space="preserve">Salamatin, Mikkaela. "China's Belt and Road Initiative is Reshaping Human Rights Norms." </w:t>
      </w:r>
      <w:r>
        <w:rPr>
          <w:rFonts w:ascii="Times New Roman" w:eastAsia="Times New Roman" w:hAnsi="Times New Roman" w:cs="Times New Roman"/>
          <w:i/>
          <w:iCs/>
          <w:color w:val="7A0808"/>
          <w:sz w:val="20"/>
          <w:szCs w:val="20"/>
        </w:rPr>
        <w:t>Vanderbilt Journal of Transnational Law</w:t>
      </w:r>
      <w:r>
        <w:rPr>
          <w:rFonts w:ascii="Times New Roman" w:eastAsia="Times New Roman" w:hAnsi="Times New Roman" w:cs="Times New Roman"/>
          <w:color w:val="7A0808"/>
          <w:sz w:val="20"/>
          <w:szCs w:val="20"/>
        </w:rPr>
        <w:t xml:space="preserve"> 53, no. 4 (2020): 1427-1476.1435.</w:t>
      </w:r>
    </w:p>
  </w:footnote>
  <w:footnote w:id="11">
    <w:p w14:paraId="4B1D7B82"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w:t>
      </w:r>
    </w:p>
  </w:footnote>
  <w:footnote w:id="12">
    <w:p w14:paraId="4518196C"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OECD, "The Belt and Road Initiative in the global trade, investment and finance landscape", </w:t>
      </w:r>
      <w:r>
        <w:rPr>
          <w:rFonts w:ascii="Times New Roman" w:eastAsia="Times New Roman" w:hAnsi="Times New Roman" w:cs="Times New Roman"/>
          <w:i/>
          <w:iCs/>
          <w:color w:val="7A0808"/>
          <w:sz w:val="20"/>
          <w:szCs w:val="20"/>
        </w:rPr>
        <w:t>OECD Business and Finance Outlook 2018</w:t>
      </w:r>
      <w:r>
        <w:rPr>
          <w:rFonts w:ascii="Times New Roman" w:eastAsia="Times New Roman" w:hAnsi="Times New Roman" w:cs="Times New Roman"/>
          <w:color w:val="7A0808"/>
          <w:sz w:val="20"/>
          <w:szCs w:val="20"/>
        </w:rPr>
        <w:t>, OECD Publishing, Paris, September 2018.</w:t>
      </w:r>
      <w:hyperlink r:id="rId5">
        <w:r>
          <w:rPr>
            <w:rFonts w:ascii="Times New Roman" w:eastAsia="Times New Roman" w:hAnsi="Times New Roman" w:cs="Times New Roman"/>
            <w:color w:val="7A0808"/>
            <w:sz w:val="20"/>
            <w:szCs w:val="20"/>
          </w:rPr>
          <w:t xml:space="preserve"> </w:t>
        </w:r>
      </w:hyperlink>
      <w:hyperlink r:id="rId6">
        <w:r>
          <w:rPr>
            <w:rFonts w:ascii="Times New Roman" w:eastAsia="Times New Roman" w:hAnsi="Times New Roman" w:cs="Times New Roman"/>
            <w:color w:val="7A0808"/>
            <w:sz w:val="20"/>
            <w:szCs w:val="20"/>
            <w:u w:val="single"/>
          </w:rPr>
          <w:t>https://doi.org/10.1787/bus_fin_out-2018-6-en</w:t>
        </w:r>
      </w:hyperlink>
      <w:r>
        <w:rPr>
          <w:rFonts w:ascii="Times New Roman" w:eastAsia="Times New Roman" w:hAnsi="Times New Roman" w:cs="Times New Roman"/>
          <w:color w:val="7A0808"/>
          <w:sz w:val="20"/>
          <w:szCs w:val="20"/>
        </w:rPr>
        <w:t>, 5. WEPON.</w:t>
      </w:r>
    </w:p>
  </w:footnote>
  <w:footnote w:id="13">
    <w:p w14:paraId="489423FE"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 xml:space="preserve">Fahmida Alam and Samin Farhan Asef, “The Implications of BRI in Djibouti: A Critical Geopolitical Analysis,” in </w:t>
      </w:r>
      <w:r>
        <w:rPr>
          <w:rFonts w:ascii="Times New Roman" w:eastAsia="Times New Roman" w:hAnsi="Times New Roman" w:cs="Times New Roman"/>
          <w:i/>
          <w:iCs/>
          <w:color w:val="7A0808"/>
          <w:sz w:val="20"/>
          <w:szCs w:val="20"/>
        </w:rPr>
        <w:t>Research Association for Interdisciplinary Studies Conference Proceedings</w:t>
      </w:r>
      <w:r>
        <w:rPr>
          <w:rFonts w:ascii="Times New Roman" w:eastAsia="Times New Roman" w:hAnsi="Times New Roman" w:cs="Times New Roman"/>
          <w:color w:val="7A0808"/>
          <w:sz w:val="20"/>
          <w:szCs w:val="20"/>
        </w:rPr>
        <w:t>, August 17-18, 2020, 279,</w:t>
      </w:r>
      <w:hyperlink r:id="rId7">
        <w:r>
          <w:rPr>
            <w:rFonts w:ascii="Times New Roman" w:eastAsia="Times New Roman" w:hAnsi="Times New Roman" w:cs="Times New Roman"/>
            <w:color w:val="7A0808"/>
            <w:sz w:val="20"/>
            <w:szCs w:val="20"/>
          </w:rPr>
          <w:t xml:space="preserve"> </w:t>
        </w:r>
      </w:hyperlink>
      <w:hyperlink r:id="rId8">
        <w:r>
          <w:rPr>
            <w:rFonts w:ascii="Times New Roman" w:eastAsia="Times New Roman" w:hAnsi="Times New Roman" w:cs="Times New Roman"/>
            <w:color w:val="7A0808"/>
            <w:sz w:val="20"/>
            <w:szCs w:val="20"/>
            <w:u w:val="single"/>
          </w:rPr>
          <w:t>https://doi.org/10.5281/zenodo.400614</w:t>
        </w:r>
      </w:hyperlink>
      <w:r>
        <w:rPr>
          <w:rFonts w:ascii="Times New Roman" w:eastAsia="Times New Roman" w:hAnsi="Times New Roman" w:cs="Times New Roman"/>
          <w:color w:val="7A0808"/>
          <w:sz w:val="20"/>
          <w:szCs w:val="20"/>
        </w:rPr>
        <w:t>.</w:t>
      </w:r>
    </w:p>
  </w:footnote>
  <w:footnote w:id="14">
    <w:p w14:paraId="7635A65B"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 xml:space="preserve">Carrai, Maria Adele "China's Malleable Sovereignty along the Belt and Road Initiative: The Case of the 99-Year Chinese Lease of Hambantota Port," </w:t>
      </w:r>
      <w:r>
        <w:rPr>
          <w:rFonts w:ascii="Times New Roman" w:eastAsia="Times New Roman" w:hAnsi="Times New Roman" w:cs="Times New Roman"/>
          <w:i/>
          <w:iCs/>
          <w:color w:val="7A0808"/>
          <w:sz w:val="20"/>
          <w:szCs w:val="20"/>
        </w:rPr>
        <w:t>New York University Journal of International Law and Politics</w:t>
      </w:r>
      <w:r>
        <w:rPr>
          <w:rFonts w:ascii="Times New Roman" w:eastAsia="Times New Roman" w:hAnsi="Times New Roman" w:cs="Times New Roman"/>
          <w:color w:val="7A0808"/>
          <w:sz w:val="20"/>
          <w:szCs w:val="20"/>
        </w:rPr>
        <w:t xml:space="preserve"> 51, no. 4 (2019): 1098.</w:t>
      </w:r>
    </w:p>
  </w:footnote>
  <w:footnote w:id="15">
    <w:p w14:paraId="033BDE29"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Acker, Kevin, Deborah Brautigam  and Yufan Huang. “Debt Relief with Chinese Characterists” Working Paper No. 2020/39. China Africa Research Initiative, School of Advanced International Studies, Johns Hopkins University,</w:t>
      </w:r>
    </w:p>
    <w:p w14:paraId="2AC669FE" w14:textId="77777777" w:rsidR="00AF6963" w:rsidRDefault="00000000">
      <w:pPr>
        <w:spacing w:after="0" w:line="240" w:lineRule="auto"/>
        <w:rPr>
          <w:rFonts w:ascii="Times New Roman" w:eastAsia="Times New Roman" w:hAnsi="Times New Roman" w:cs="Times New Roman"/>
          <w:color w:val="7A0808"/>
          <w:sz w:val="20"/>
          <w:szCs w:val="20"/>
        </w:rPr>
      </w:pPr>
      <w:r>
        <w:rPr>
          <w:rFonts w:ascii="Times New Roman" w:eastAsia="Times New Roman" w:hAnsi="Times New Roman" w:cs="Times New Roman"/>
          <w:color w:val="7A0808"/>
          <w:sz w:val="20"/>
          <w:szCs w:val="20"/>
        </w:rPr>
        <w:t>Washington, DC. Retrieved from</w:t>
      </w:r>
      <w:hyperlink r:id="rId9">
        <w:r>
          <w:rPr>
            <w:rFonts w:ascii="Times New Roman" w:eastAsia="Times New Roman" w:hAnsi="Times New Roman" w:cs="Times New Roman"/>
            <w:color w:val="7A0808"/>
            <w:sz w:val="20"/>
            <w:szCs w:val="20"/>
          </w:rPr>
          <w:t xml:space="preserve"> </w:t>
        </w:r>
      </w:hyperlink>
      <w:hyperlink r:id="rId10">
        <w:r>
          <w:rPr>
            <w:rFonts w:ascii="Times New Roman" w:eastAsia="Times New Roman" w:hAnsi="Times New Roman" w:cs="Times New Roman"/>
            <w:color w:val="7A0808"/>
            <w:sz w:val="20"/>
            <w:szCs w:val="20"/>
            <w:u w:val="single"/>
          </w:rPr>
          <w:t>http://www.sais-cari.org/publications</w:t>
        </w:r>
      </w:hyperlink>
      <w:r>
        <w:rPr>
          <w:rFonts w:ascii="Times New Roman" w:eastAsia="Times New Roman" w:hAnsi="Times New Roman" w:cs="Times New Roman"/>
          <w:color w:val="7A0808"/>
          <w:sz w:val="20"/>
          <w:szCs w:val="20"/>
        </w:rPr>
        <w:t>, 3.</w:t>
      </w:r>
    </w:p>
  </w:footnote>
  <w:footnote w:id="16">
    <w:p w14:paraId="18DCF75E"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 xml:space="preserve">Ibid. </w:t>
      </w:r>
    </w:p>
  </w:footnote>
  <w:footnote w:id="17">
    <w:p w14:paraId="700A7D34"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WANG, Christoph NEDOPIL. “Countries of the Belt and Road Initiative (BRI).” Green Finance &amp; Development Center, July 2022. https://greenfdc.org/countries-of-the-belt-and-road-initiative-bri/.  </w:t>
      </w:r>
    </w:p>
  </w:footnote>
  <w:footnote w:id="18">
    <w:p w14:paraId="5D722C99"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w:t>
      </w:r>
    </w:p>
  </w:footnote>
  <w:footnote w:id="19">
    <w:p w14:paraId="0025DB67"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Berger, H. Blake and  Russel, Daniel R. “Weaponizing the Belt and Road Initiative”  Asia Society, September 2020.</w:t>
      </w:r>
      <w:hyperlink r:id="rId11">
        <w:r>
          <w:rPr>
            <w:rFonts w:ascii="Times New Roman" w:eastAsia="Times New Roman" w:hAnsi="Times New Roman" w:cs="Times New Roman"/>
            <w:color w:val="7A0808"/>
            <w:sz w:val="20"/>
            <w:szCs w:val="20"/>
          </w:rPr>
          <w:t xml:space="preserve"> </w:t>
        </w:r>
      </w:hyperlink>
      <w:hyperlink r:id="rId12">
        <w:r>
          <w:rPr>
            <w:rFonts w:ascii="Times New Roman" w:eastAsia="Times New Roman" w:hAnsi="Times New Roman" w:cs="Times New Roman"/>
            <w:color w:val="7A0808"/>
            <w:sz w:val="20"/>
            <w:szCs w:val="20"/>
            <w:u w:val="single"/>
          </w:rPr>
          <w:t>https://asiasociety.org/policy-institute/weaponizing-belt-and-road-initiative</w:t>
        </w:r>
      </w:hyperlink>
      <w:r>
        <w:rPr>
          <w:rFonts w:ascii="Times New Roman" w:eastAsia="Times New Roman" w:hAnsi="Times New Roman" w:cs="Times New Roman"/>
          <w:color w:val="7A0808"/>
          <w:sz w:val="20"/>
          <w:szCs w:val="20"/>
        </w:rPr>
        <w:t>, 6.</w:t>
      </w:r>
    </w:p>
  </w:footnote>
  <w:footnote w:id="20">
    <w:p w14:paraId="475EAE86"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 23.</w:t>
      </w:r>
    </w:p>
  </w:footnote>
  <w:footnote w:id="21">
    <w:p w14:paraId="165A15B0"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 9.</w:t>
      </w:r>
    </w:p>
  </w:footnote>
  <w:footnote w:id="22">
    <w:p w14:paraId="18FEBBFC"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Mearsheimer, John. “China's Unpeaceful Rise,” </w:t>
      </w:r>
      <w:r>
        <w:rPr>
          <w:rFonts w:ascii="Times New Roman" w:eastAsia="Times New Roman" w:hAnsi="Times New Roman" w:cs="Times New Roman"/>
          <w:i/>
          <w:iCs/>
          <w:color w:val="7A0808"/>
          <w:sz w:val="20"/>
          <w:szCs w:val="20"/>
        </w:rPr>
        <w:t>Current History</w:t>
      </w:r>
      <w:r>
        <w:rPr>
          <w:rFonts w:ascii="Times New Roman" w:eastAsia="Times New Roman" w:hAnsi="Times New Roman" w:cs="Times New Roman"/>
          <w:color w:val="7A0808"/>
          <w:sz w:val="20"/>
          <w:szCs w:val="20"/>
        </w:rPr>
        <w:t xml:space="preserve"> 105, no. 690 (2006): 160-162..</w:t>
      </w:r>
    </w:p>
  </w:footnote>
  <w:footnote w:id="23">
    <w:p w14:paraId="7F7E6B1D"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Berger, H. Blake and  Russel, Daniel R. “Weaponizing the Belt and Road Initiative”  Asia Society, September 2020.</w:t>
      </w:r>
      <w:hyperlink r:id="rId13">
        <w:r>
          <w:rPr>
            <w:rFonts w:ascii="Times New Roman" w:eastAsia="Times New Roman" w:hAnsi="Times New Roman" w:cs="Times New Roman"/>
            <w:color w:val="7A0808"/>
            <w:sz w:val="20"/>
            <w:szCs w:val="20"/>
          </w:rPr>
          <w:t xml:space="preserve"> </w:t>
        </w:r>
      </w:hyperlink>
      <w:hyperlink r:id="rId14">
        <w:r>
          <w:rPr>
            <w:rFonts w:ascii="Times New Roman" w:eastAsia="Times New Roman" w:hAnsi="Times New Roman" w:cs="Times New Roman"/>
            <w:color w:val="7A0808"/>
            <w:sz w:val="20"/>
            <w:szCs w:val="20"/>
            <w:u w:val="single"/>
          </w:rPr>
          <w:t>https://asiasociety.org/policy-institute/weaponizing-belt-and-road-initiative</w:t>
        </w:r>
      </w:hyperlink>
      <w:r>
        <w:rPr>
          <w:rFonts w:ascii="Times New Roman" w:eastAsia="Times New Roman" w:hAnsi="Times New Roman" w:cs="Times New Roman"/>
          <w:color w:val="7A0808"/>
          <w:sz w:val="20"/>
          <w:szCs w:val="20"/>
        </w:rPr>
        <w:t>, 3.</w:t>
      </w:r>
    </w:p>
  </w:footnote>
  <w:footnote w:id="24">
    <w:p w14:paraId="2FE03D0F"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Scissors, Derek. “China Global Investment Tracker | American Enterprise Institute - AEI.” Accessed December 6, 2022.</w:t>
      </w:r>
      <w:hyperlink r:id="rId15">
        <w:r>
          <w:rPr>
            <w:rFonts w:ascii="Times New Roman" w:eastAsia="Times New Roman" w:hAnsi="Times New Roman" w:cs="Times New Roman"/>
            <w:color w:val="7A0808"/>
            <w:sz w:val="20"/>
            <w:szCs w:val="20"/>
          </w:rPr>
          <w:t xml:space="preserve"> </w:t>
        </w:r>
      </w:hyperlink>
      <w:hyperlink r:id="rId16">
        <w:r>
          <w:rPr>
            <w:rFonts w:ascii="Times New Roman" w:eastAsia="Times New Roman" w:hAnsi="Times New Roman" w:cs="Times New Roman"/>
            <w:color w:val="7A0808"/>
            <w:sz w:val="20"/>
            <w:szCs w:val="20"/>
            <w:u w:val="single"/>
          </w:rPr>
          <w:t>https://www.aei.org/china-global-investment-tracker/</w:t>
        </w:r>
      </w:hyperlink>
      <w:r>
        <w:rPr>
          <w:rFonts w:ascii="Times New Roman" w:eastAsia="Times New Roman" w:hAnsi="Times New Roman" w:cs="Times New Roman"/>
          <w:color w:val="7A0808"/>
          <w:sz w:val="20"/>
          <w:szCs w:val="20"/>
        </w:rPr>
        <w:t xml:space="preserve">.   </w:t>
      </w:r>
    </w:p>
  </w:footnote>
  <w:footnote w:id="25">
    <w:p w14:paraId="48933626"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Berger, H. Blake and Russel, Daniel R. “Weaponizing the Belt and Road Initiative”  </w:t>
      </w:r>
      <w:r>
        <w:rPr>
          <w:rFonts w:ascii="Times New Roman" w:eastAsia="Times New Roman" w:hAnsi="Times New Roman" w:cs="Times New Roman"/>
          <w:i/>
          <w:iCs/>
          <w:color w:val="7A0808"/>
          <w:sz w:val="20"/>
          <w:szCs w:val="20"/>
        </w:rPr>
        <w:t>Asia Society</w:t>
      </w:r>
      <w:r>
        <w:rPr>
          <w:rFonts w:ascii="Times New Roman" w:eastAsia="Times New Roman" w:hAnsi="Times New Roman" w:cs="Times New Roman"/>
          <w:color w:val="7A0808"/>
          <w:sz w:val="20"/>
          <w:szCs w:val="20"/>
        </w:rPr>
        <w:t>, September 2020.</w:t>
      </w:r>
      <w:hyperlink r:id="rId17">
        <w:r>
          <w:rPr>
            <w:rFonts w:ascii="Times New Roman" w:eastAsia="Times New Roman" w:hAnsi="Times New Roman" w:cs="Times New Roman"/>
            <w:color w:val="7A0808"/>
            <w:sz w:val="20"/>
            <w:szCs w:val="20"/>
          </w:rPr>
          <w:t xml:space="preserve"> </w:t>
        </w:r>
      </w:hyperlink>
      <w:hyperlink r:id="rId18">
        <w:r>
          <w:rPr>
            <w:rFonts w:ascii="Times New Roman" w:eastAsia="Times New Roman" w:hAnsi="Times New Roman" w:cs="Times New Roman"/>
            <w:color w:val="7A0808"/>
            <w:sz w:val="20"/>
            <w:szCs w:val="20"/>
            <w:u w:val="single"/>
          </w:rPr>
          <w:t>https://asiasociety.org/policy-institute/weaponizing-belt-and-road-initiative</w:t>
        </w:r>
      </w:hyperlink>
      <w:r>
        <w:rPr>
          <w:rFonts w:ascii="Times New Roman" w:eastAsia="Times New Roman" w:hAnsi="Times New Roman" w:cs="Times New Roman"/>
          <w:color w:val="7A0808"/>
          <w:sz w:val="20"/>
          <w:szCs w:val="20"/>
        </w:rPr>
        <w:t>, 7.</w:t>
      </w:r>
    </w:p>
  </w:footnote>
  <w:footnote w:id="26">
    <w:p w14:paraId="52913781"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 xml:space="preserve">Ahmad, Tariq, Author, Laney Zhang, Nicolas Boring, George Sadek, Hanibal Goitom, Sayuri Umeda, Kelly Buchanan, et al. </w:t>
      </w:r>
      <w:r>
        <w:rPr>
          <w:rFonts w:ascii="Times New Roman" w:eastAsia="Times New Roman" w:hAnsi="Times New Roman" w:cs="Times New Roman"/>
          <w:i/>
          <w:iCs/>
          <w:color w:val="7A0808"/>
          <w:sz w:val="20"/>
          <w:szCs w:val="20"/>
        </w:rPr>
        <w:t>Belt and Road Initiative: China, Cambodia, Caribbean Countries, Djibouti, Egypt, Greece, Kenya, Luxembourg, Malaysia, Pakistan, Philippines, Portugal, Russian Federation and Central Asian Countries, South America, Sweden, Switzerland, United Kingdom. Washington, D.C</w:t>
      </w:r>
      <w:r>
        <w:rPr>
          <w:rFonts w:ascii="Times New Roman" w:eastAsia="Times New Roman" w:hAnsi="Times New Roman" w:cs="Times New Roman"/>
          <w:color w:val="7A0808"/>
          <w:sz w:val="20"/>
          <w:szCs w:val="20"/>
        </w:rPr>
        <w:t>.: The Law Library of Congress, Global Legal Research Directorate, August, 2021. Pdf.</w:t>
      </w:r>
      <w:hyperlink r:id="rId19">
        <w:r>
          <w:rPr>
            <w:rFonts w:ascii="Times New Roman" w:eastAsia="Times New Roman" w:hAnsi="Times New Roman" w:cs="Times New Roman"/>
            <w:color w:val="7A0808"/>
            <w:sz w:val="20"/>
            <w:szCs w:val="20"/>
          </w:rPr>
          <w:t xml:space="preserve"> </w:t>
        </w:r>
      </w:hyperlink>
      <w:hyperlink r:id="rId20">
        <w:r>
          <w:rPr>
            <w:rFonts w:ascii="Times New Roman" w:eastAsia="Times New Roman" w:hAnsi="Times New Roman" w:cs="Times New Roman"/>
            <w:color w:val="7A0808"/>
            <w:sz w:val="20"/>
            <w:szCs w:val="20"/>
            <w:u w:val="single"/>
          </w:rPr>
          <w:t>https://www.loc.gov/item/2021687414/</w:t>
        </w:r>
      </w:hyperlink>
      <w:r>
        <w:rPr>
          <w:rFonts w:ascii="Times New Roman" w:eastAsia="Times New Roman" w:hAnsi="Times New Roman" w:cs="Times New Roman"/>
          <w:color w:val="7A0808"/>
          <w:sz w:val="20"/>
          <w:szCs w:val="20"/>
        </w:rPr>
        <w:t>, 58.</w:t>
      </w:r>
    </w:p>
  </w:footnote>
  <w:footnote w:id="27">
    <w:p w14:paraId="280B38B1"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Devonshire-Ellis, Chris. “Algeria to Coordinate National Development Plans with China's Belt and Road Initiative,” Silk Road Briefing, July 27, 2021,</w:t>
      </w:r>
      <w:hyperlink r:id="rId21">
        <w:r>
          <w:rPr>
            <w:rFonts w:ascii="Times New Roman" w:eastAsia="Times New Roman" w:hAnsi="Times New Roman" w:cs="Times New Roman"/>
            <w:color w:val="7A0808"/>
            <w:sz w:val="20"/>
            <w:szCs w:val="20"/>
          </w:rPr>
          <w:t xml:space="preserve"> </w:t>
        </w:r>
      </w:hyperlink>
      <w:hyperlink r:id="rId22">
        <w:r>
          <w:rPr>
            <w:rFonts w:ascii="Times New Roman" w:eastAsia="Times New Roman" w:hAnsi="Times New Roman" w:cs="Times New Roman"/>
            <w:color w:val="7A0808"/>
            <w:sz w:val="20"/>
            <w:szCs w:val="20"/>
            <w:u w:val="single"/>
          </w:rPr>
          <w:t>https://www.silkroadbriefing.com/news/2021/07/27/algeria-to-coordinate-national-development-plans-with-chinas-belt-and-road-initiative/</w:t>
        </w:r>
      </w:hyperlink>
      <w:r>
        <w:rPr>
          <w:rFonts w:ascii="Times New Roman" w:eastAsia="Times New Roman" w:hAnsi="Times New Roman" w:cs="Times New Roman"/>
          <w:color w:val="7A0808"/>
          <w:sz w:val="20"/>
          <w:szCs w:val="20"/>
        </w:rPr>
        <w:t xml:space="preserve">. </w:t>
      </w:r>
    </w:p>
  </w:footnote>
  <w:footnote w:id="28">
    <w:p w14:paraId="518A9632"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Ahmad, Tariq, Author, Laney Zhang, Nicolas Boring, George Sadek, Hanibal Goitom, Sayuri Umeda, Kelly Buchanan, et al. </w:t>
      </w:r>
      <w:r>
        <w:rPr>
          <w:rFonts w:ascii="Times New Roman" w:eastAsia="Times New Roman" w:hAnsi="Times New Roman" w:cs="Times New Roman"/>
          <w:i/>
          <w:iCs/>
          <w:color w:val="7A0808"/>
          <w:sz w:val="20"/>
          <w:szCs w:val="20"/>
        </w:rPr>
        <w:t>Belt and Road Initiative: China, Cambodia, Caribbean Countries, Djibouti, Egypt, Greece, Kenya, Luxembourg, Malaysia, Pakistan, Philippines, Portugal, Russian Federation and Central Asian Countries, South America, Sweden, Switzerland, United Kingdom. Washington, D.C</w:t>
      </w:r>
      <w:r>
        <w:rPr>
          <w:rFonts w:ascii="Times New Roman" w:eastAsia="Times New Roman" w:hAnsi="Times New Roman" w:cs="Times New Roman"/>
          <w:color w:val="7A0808"/>
          <w:sz w:val="20"/>
          <w:szCs w:val="20"/>
        </w:rPr>
        <w:t>.: The Law Library of Congress, Global Legal Research Directorate, August, 2021. Pdf.</w:t>
      </w:r>
      <w:hyperlink r:id="rId23">
        <w:r>
          <w:rPr>
            <w:rFonts w:ascii="Times New Roman" w:eastAsia="Times New Roman" w:hAnsi="Times New Roman" w:cs="Times New Roman"/>
            <w:color w:val="7A0808"/>
            <w:sz w:val="20"/>
            <w:szCs w:val="20"/>
          </w:rPr>
          <w:t xml:space="preserve"> </w:t>
        </w:r>
      </w:hyperlink>
      <w:hyperlink r:id="rId24">
        <w:r>
          <w:rPr>
            <w:rFonts w:ascii="Times New Roman" w:eastAsia="Times New Roman" w:hAnsi="Times New Roman" w:cs="Times New Roman"/>
            <w:color w:val="7A0808"/>
            <w:sz w:val="20"/>
            <w:szCs w:val="20"/>
            <w:u w:val="single"/>
          </w:rPr>
          <w:t>https://www.loc.gov/item/2021687414/</w:t>
        </w:r>
      </w:hyperlink>
      <w:r>
        <w:rPr>
          <w:rFonts w:ascii="Times New Roman" w:eastAsia="Times New Roman" w:hAnsi="Times New Roman" w:cs="Times New Roman"/>
          <w:color w:val="7A0808"/>
          <w:sz w:val="20"/>
          <w:szCs w:val="20"/>
        </w:rPr>
        <w:t>, 146.</w:t>
      </w:r>
    </w:p>
  </w:footnote>
  <w:footnote w:id="29">
    <w:p w14:paraId="4CB0E956"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 </w:t>
      </w:r>
    </w:p>
  </w:footnote>
  <w:footnote w:id="30">
    <w:p w14:paraId="39F454AB"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He , Wenping. “Opinion: Bri Injects New Energy into China-Angola Cooperation.” CGTN, 2018.</w:t>
      </w:r>
      <w:hyperlink r:id="rId25">
        <w:r>
          <w:rPr>
            <w:rFonts w:ascii="Times New Roman" w:eastAsia="Times New Roman" w:hAnsi="Times New Roman" w:cs="Times New Roman"/>
            <w:color w:val="7A0808"/>
            <w:sz w:val="20"/>
            <w:szCs w:val="20"/>
          </w:rPr>
          <w:t xml:space="preserve"> </w:t>
        </w:r>
      </w:hyperlink>
      <w:hyperlink r:id="rId26">
        <w:r>
          <w:rPr>
            <w:rFonts w:ascii="Times New Roman" w:eastAsia="Times New Roman" w:hAnsi="Times New Roman" w:cs="Times New Roman"/>
            <w:color w:val="7A0808"/>
            <w:sz w:val="20"/>
            <w:szCs w:val="20"/>
            <w:u w:val="single"/>
          </w:rPr>
          <w:t>https://news.cgtn.com/news/3d3d514f77557a4e7a457a6333566d54/share_p.html</w:t>
        </w:r>
      </w:hyperlink>
      <w:r>
        <w:rPr>
          <w:rFonts w:ascii="Times New Roman" w:eastAsia="Times New Roman" w:hAnsi="Times New Roman" w:cs="Times New Roman"/>
          <w:color w:val="7A0808"/>
          <w:sz w:val="20"/>
          <w:szCs w:val="20"/>
        </w:rPr>
        <w:t xml:space="preserve">.    </w:t>
      </w:r>
    </w:p>
  </w:footnote>
  <w:footnote w:id="31">
    <w:p w14:paraId="6D610873"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Ahmad, Tariq, Author, Laney Zhang, Nicolas Boring, George Sadek, Hanibal Goitom, Sayuri Umeda, Kelly Buchanan, et al. </w:t>
      </w:r>
      <w:r>
        <w:rPr>
          <w:rFonts w:ascii="Times New Roman" w:eastAsia="Times New Roman" w:hAnsi="Times New Roman" w:cs="Times New Roman"/>
          <w:i/>
          <w:iCs/>
          <w:color w:val="7A0808"/>
          <w:sz w:val="20"/>
          <w:szCs w:val="20"/>
        </w:rPr>
        <w:t>Belt and Road Initiative: China, Cambodia, Caribbean Countries, Djibouti, Egypt, Greece, Kenya, Luxembourg, Malaysia, Pakistan, Philippines, Portugal, Russian Federation and Central Asian Countries, South America, Sweden, Switzerland, United Kingdom. Washington, D.C</w:t>
      </w:r>
      <w:r>
        <w:rPr>
          <w:rFonts w:ascii="Times New Roman" w:eastAsia="Times New Roman" w:hAnsi="Times New Roman" w:cs="Times New Roman"/>
          <w:color w:val="7A0808"/>
          <w:sz w:val="20"/>
          <w:szCs w:val="20"/>
        </w:rPr>
        <w:t>.: The Law Library of Congress, Global Legal Research Directorate, August, 2021. Pdf.</w:t>
      </w:r>
      <w:hyperlink r:id="rId27">
        <w:r>
          <w:rPr>
            <w:rFonts w:ascii="Times New Roman" w:eastAsia="Times New Roman" w:hAnsi="Times New Roman" w:cs="Times New Roman"/>
            <w:color w:val="7A0808"/>
            <w:sz w:val="20"/>
            <w:szCs w:val="20"/>
          </w:rPr>
          <w:t xml:space="preserve"> </w:t>
        </w:r>
      </w:hyperlink>
      <w:hyperlink r:id="rId28">
        <w:r>
          <w:rPr>
            <w:rFonts w:ascii="Times New Roman" w:eastAsia="Times New Roman" w:hAnsi="Times New Roman" w:cs="Times New Roman"/>
            <w:color w:val="7A0808"/>
            <w:sz w:val="20"/>
            <w:szCs w:val="20"/>
            <w:u w:val="single"/>
          </w:rPr>
          <w:t>https://www.loc.gov/item/2021687414/</w:t>
        </w:r>
      </w:hyperlink>
      <w:r>
        <w:rPr>
          <w:rFonts w:ascii="Times New Roman" w:eastAsia="Times New Roman" w:hAnsi="Times New Roman" w:cs="Times New Roman"/>
          <w:color w:val="7A0808"/>
          <w:sz w:val="20"/>
          <w:szCs w:val="20"/>
        </w:rPr>
        <w:t>, 36.</w:t>
      </w:r>
    </w:p>
  </w:footnote>
  <w:footnote w:id="32">
    <w:p w14:paraId="3E8E05EF"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w:t>
      </w:r>
    </w:p>
  </w:footnote>
  <w:footnote w:id="33">
    <w:p w14:paraId="698679B7"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Han, Yang. “UAE Project Progresses under BRI.” China Daily, January 2022.</w:t>
      </w:r>
      <w:hyperlink r:id="rId29">
        <w:r>
          <w:rPr>
            <w:rFonts w:ascii="Times New Roman" w:eastAsia="Times New Roman" w:hAnsi="Times New Roman" w:cs="Times New Roman"/>
            <w:color w:val="7A0808"/>
            <w:sz w:val="20"/>
            <w:szCs w:val="20"/>
          </w:rPr>
          <w:t xml:space="preserve"> </w:t>
        </w:r>
      </w:hyperlink>
      <w:hyperlink r:id="rId30">
        <w:r>
          <w:rPr>
            <w:rFonts w:ascii="Times New Roman" w:eastAsia="Times New Roman" w:hAnsi="Times New Roman" w:cs="Times New Roman"/>
            <w:color w:val="7A0808"/>
            <w:sz w:val="20"/>
            <w:szCs w:val="20"/>
            <w:u w:val="single"/>
          </w:rPr>
          <w:t>https://www.chinadailyhk.com/article/256991</w:t>
        </w:r>
      </w:hyperlink>
      <w:r>
        <w:rPr>
          <w:rFonts w:ascii="Times New Roman" w:eastAsia="Times New Roman" w:hAnsi="Times New Roman" w:cs="Times New Roman"/>
          <w:color w:val="7A0808"/>
          <w:sz w:val="20"/>
          <w:szCs w:val="20"/>
        </w:rPr>
        <w:t xml:space="preserve">. </w:t>
      </w:r>
    </w:p>
  </w:footnote>
  <w:footnote w:id="34">
    <w:p w14:paraId="66F83DCA"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Solutions, EIU Digital. UAE signs deals with China under Belt and Road Initiative, 2019.</w:t>
      </w:r>
      <w:hyperlink r:id="rId31">
        <w:r>
          <w:rPr>
            <w:rFonts w:ascii="Times New Roman" w:eastAsia="Times New Roman" w:hAnsi="Times New Roman" w:cs="Times New Roman"/>
            <w:color w:val="7A0808"/>
            <w:sz w:val="20"/>
            <w:szCs w:val="20"/>
          </w:rPr>
          <w:t xml:space="preserve"> </w:t>
        </w:r>
      </w:hyperlink>
      <w:hyperlink r:id="rId32">
        <w:r>
          <w:rPr>
            <w:rFonts w:ascii="Times New Roman" w:eastAsia="Times New Roman" w:hAnsi="Times New Roman" w:cs="Times New Roman"/>
            <w:color w:val="7A0808"/>
            <w:sz w:val="20"/>
            <w:szCs w:val="20"/>
            <w:u w:val="single"/>
          </w:rPr>
          <w:t>https://country.eiu.com/article.aspx?articleid=1857968369</w:t>
        </w:r>
      </w:hyperlink>
      <w:r>
        <w:rPr>
          <w:rFonts w:ascii="Times New Roman" w:eastAsia="Times New Roman" w:hAnsi="Times New Roman" w:cs="Times New Roman"/>
          <w:color w:val="7A0808"/>
          <w:sz w:val="20"/>
          <w:szCs w:val="20"/>
        </w:rPr>
        <w:t>.</w:t>
      </w:r>
    </w:p>
  </w:footnote>
  <w:footnote w:id="35">
    <w:p w14:paraId="5C676631"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Ahmad, Tariq, Author, Laney Zhang, Nicolas Boring, George Sadek, Hanibal Goitom, Sayuri Umeda, Kelly Buchanan, et al. </w:t>
      </w:r>
      <w:r>
        <w:rPr>
          <w:rFonts w:ascii="Times New Roman" w:eastAsia="Times New Roman" w:hAnsi="Times New Roman" w:cs="Times New Roman"/>
          <w:i/>
          <w:iCs/>
          <w:color w:val="7A0808"/>
          <w:sz w:val="20"/>
          <w:szCs w:val="20"/>
        </w:rPr>
        <w:t>Belt and Road Initiative: China, Cambodia, Caribbean Countries, Djibouti, Egypt, Greece, Kenya, Luxembourg, Malaysia, Pakistan, Philippines, Portugal, Russian Federation and Central Asian Countries, South America, Sweden, Switzerland, United Kingdom. Washington, D.C</w:t>
      </w:r>
      <w:r>
        <w:rPr>
          <w:rFonts w:ascii="Times New Roman" w:eastAsia="Times New Roman" w:hAnsi="Times New Roman" w:cs="Times New Roman"/>
          <w:color w:val="7A0808"/>
          <w:sz w:val="20"/>
          <w:szCs w:val="20"/>
        </w:rPr>
        <w:t>.: The Law Library of Congress, Global Legal Research Directorate, August, 2021. Pdf.</w:t>
      </w:r>
      <w:hyperlink r:id="rId33">
        <w:r>
          <w:rPr>
            <w:rFonts w:ascii="Times New Roman" w:eastAsia="Times New Roman" w:hAnsi="Times New Roman" w:cs="Times New Roman"/>
            <w:color w:val="7A0808"/>
            <w:sz w:val="20"/>
            <w:szCs w:val="20"/>
          </w:rPr>
          <w:t xml:space="preserve"> </w:t>
        </w:r>
      </w:hyperlink>
      <w:hyperlink r:id="rId34">
        <w:r>
          <w:rPr>
            <w:rFonts w:ascii="Times New Roman" w:eastAsia="Times New Roman" w:hAnsi="Times New Roman" w:cs="Times New Roman"/>
            <w:color w:val="7A0808"/>
            <w:sz w:val="20"/>
            <w:szCs w:val="20"/>
            <w:u w:val="single"/>
          </w:rPr>
          <w:t>https://www.loc.gov/item/2021687414/</w:t>
        </w:r>
      </w:hyperlink>
      <w:r>
        <w:rPr>
          <w:rFonts w:ascii="Times New Roman" w:eastAsia="Times New Roman" w:hAnsi="Times New Roman" w:cs="Times New Roman"/>
          <w:color w:val="7A0808"/>
          <w:sz w:val="20"/>
          <w:szCs w:val="20"/>
        </w:rPr>
        <w:t>, 157.</w:t>
      </w:r>
    </w:p>
  </w:footnote>
  <w:footnote w:id="36">
    <w:p w14:paraId="05C850A7"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Devonshire-Ellis, Chris. “Algeria to Coordinate National Development Plans with China's Belt and Road Initiative,” Silk Road Briefing, July 27, 2021,</w:t>
      </w:r>
      <w:hyperlink r:id="rId35">
        <w:r>
          <w:rPr>
            <w:rFonts w:ascii="Times New Roman" w:eastAsia="Times New Roman" w:hAnsi="Times New Roman" w:cs="Times New Roman"/>
            <w:color w:val="7A0808"/>
            <w:sz w:val="20"/>
            <w:szCs w:val="20"/>
          </w:rPr>
          <w:t xml:space="preserve"> </w:t>
        </w:r>
      </w:hyperlink>
      <w:hyperlink r:id="rId36">
        <w:r>
          <w:rPr>
            <w:rFonts w:ascii="Times New Roman" w:eastAsia="Times New Roman" w:hAnsi="Times New Roman" w:cs="Times New Roman"/>
            <w:color w:val="7A0808"/>
            <w:sz w:val="20"/>
            <w:szCs w:val="20"/>
            <w:u w:val="single"/>
          </w:rPr>
          <w:t>https://www.silkroadbriefing.com/news/2021/07/27/algeria-to-coordinate-national-development-plans-with-chinas-belt-and-road-initiative/</w:t>
        </w:r>
      </w:hyperlink>
      <w:r>
        <w:rPr>
          <w:rFonts w:ascii="Times New Roman" w:eastAsia="Times New Roman" w:hAnsi="Times New Roman" w:cs="Times New Roman"/>
          <w:color w:val="7A0808"/>
          <w:sz w:val="20"/>
          <w:szCs w:val="20"/>
        </w:rPr>
        <w:t xml:space="preserve">. </w:t>
      </w:r>
    </w:p>
  </w:footnote>
  <w:footnote w:id="37">
    <w:p w14:paraId="70CACAE4"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Hanks, Joshua. “Bolivia, Lithium and China's BRI.” Workers World, January 1, 2020.</w:t>
      </w:r>
      <w:hyperlink r:id="rId37" w:anchor=":~:text=It%27s%20intended%20as%20an%20outlet,grip%20of%20Washington%20and%20Brussels">
        <w:r>
          <w:rPr>
            <w:rFonts w:ascii="Times New Roman" w:eastAsia="Times New Roman" w:hAnsi="Times New Roman" w:cs="Times New Roman"/>
            <w:color w:val="7A0808"/>
            <w:sz w:val="20"/>
            <w:szCs w:val="20"/>
          </w:rPr>
          <w:t xml:space="preserve"> </w:t>
        </w:r>
      </w:hyperlink>
      <w:hyperlink r:id="rId38" w:anchor=":~:text=It%27s%20intended%20as%20an%20outlet,grip%20of%20Washington%20and%20Brussels">
        <w:r>
          <w:rPr>
            <w:rFonts w:ascii="Times New Roman" w:eastAsia="Times New Roman" w:hAnsi="Times New Roman" w:cs="Times New Roman"/>
            <w:color w:val="7A0808"/>
            <w:sz w:val="20"/>
            <w:szCs w:val="20"/>
            <w:u w:val="single"/>
          </w:rPr>
          <w:t>https://www.workers.org/2019/11/44493/#:~:text=It%27s%20intended%20as%20an%20outlet,grip%20of%20Washington%20and%20Brussels</w:t>
        </w:r>
      </w:hyperlink>
      <w:r>
        <w:rPr>
          <w:rFonts w:ascii="Times New Roman" w:eastAsia="Times New Roman" w:hAnsi="Times New Roman" w:cs="Times New Roman"/>
          <w:color w:val="7A0808"/>
          <w:sz w:val="20"/>
          <w:szCs w:val="20"/>
        </w:rPr>
        <w:t>.</w:t>
      </w:r>
    </w:p>
  </w:footnote>
  <w:footnote w:id="38">
    <w:p w14:paraId="2ED67DD2"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 xml:space="preserve">Ahmad, Tariq, Author, Laney Zhang, Nicolas Boring, George Sadek, Hanibal Goitom, Sayuri Umeda, Kelly Buchanan, et al. </w:t>
      </w:r>
      <w:r>
        <w:rPr>
          <w:rFonts w:ascii="Times New Roman" w:eastAsia="Times New Roman" w:hAnsi="Times New Roman" w:cs="Times New Roman"/>
          <w:i/>
          <w:iCs/>
          <w:color w:val="7A0808"/>
          <w:sz w:val="20"/>
          <w:szCs w:val="20"/>
        </w:rPr>
        <w:t>Belt and Road Initiative: China, Cambodia, Caribbean Countries, Djibouti, Egypt, Greece, Kenya, Luxembourg, Malaysia, Pakistan, Philippines, Portugal, Russian Federation and Central Asian Countries, South America, Sweden, Switzerland, United Kingdom. Washington, D.C</w:t>
      </w:r>
      <w:r>
        <w:rPr>
          <w:rFonts w:ascii="Times New Roman" w:eastAsia="Times New Roman" w:hAnsi="Times New Roman" w:cs="Times New Roman"/>
          <w:color w:val="7A0808"/>
          <w:sz w:val="20"/>
          <w:szCs w:val="20"/>
        </w:rPr>
        <w:t>.: The Law Library of Congress, Global Legal Research Directorate, August, 2021. Pdf.</w:t>
      </w:r>
      <w:hyperlink r:id="rId39">
        <w:r>
          <w:rPr>
            <w:rFonts w:ascii="Times New Roman" w:eastAsia="Times New Roman" w:hAnsi="Times New Roman" w:cs="Times New Roman"/>
            <w:color w:val="7A0808"/>
            <w:sz w:val="20"/>
            <w:szCs w:val="20"/>
          </w:rPr>
          <w:t xml:space="preserve"> </w:t>
        </w:r>
      </w:hyperlink>
      <w:hyperlink r:id="rId40">
        <w:r>
          <w:rPr>
            <w:rFonts w:ascii="Times New Roman" w:eastAsia="Times New Roman" w:hAnsi="Times New Roman" w:cs="Times New Roman"/>
            <w:color w:val="7A0808"/>
            <w:sz w:val="20"/>
            <w:szCs w:val="20"/>
            <w:u w:val="single"/>
          </w:rPr>
          <w:t>https://www.loc.gov/item/2021687414/</w:t>
        </w:r>
      </w:hyperlink>
      <w:r>
        <w:rPr>
          <w:rFonts w:ascii="Times New Roman" w:eastAsia="Times New Roman" w:hAnsi="Times New Roman" w:cs="Times New Roman"/>
          <w:color w:val="7A0808"/>
          <w:sz w:val="20"/>
          <w:szCs w:val="20"/>
        </w:rPr>
        <w:t>, 67.</w:t>
      </w:r>
    </w:p>
  </w:footnote>
  <w:footnote w:id="39">
    <w:p w14:paraId="75A5B7D4"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 xml:space="preserve">Ahmad, Tariq, Author, Laney Zhang, Nicolas Boring, George Sadek, Hanibal Goitom, Sayuri Umeda, Kelly Buchanan, et al. </w:t>
      </w:r>
      <w:r>
        <w:rPr>
          <w:rFonts w:ascii="Times New Roman" w:eastAsia="Times New Roman" w:hAnsi="Times New Roman" w:cs="Times New Roman"/>
          <w:i/>
          <w:iCs/>
          <w:color w:val="7A0808"/>
          <w:sz w:val="20"/>
          <w:szCs w:val="20"/>
        </w:rPr>
        <w:t>Belt and Road Initiative: China, Cambodia, Caribbean Countries, Djibouti, Egypt, Greece, Kenya, Luxembourg, Malaysia, Pakistan, Philippines, Portugal, Russian Federation and Central Asian Countries, South America, Sweden, Switzerland, United Kingdom. Washington, D.C</w:t>
      </w:r>
      <w:r>
        <w:rPr>
          <w:rFonts w:ascii="Times New Roman" w:eastAsia="Times New Roman" w:hAnsi="Times New Roman" w:cs="Times New Roman"/>
          <w:color w:val="7A0808"/>
          <w:sz w:val="20"/>
          <w:szCs w:val="20"/>
        </w:rPr>
        <w:t>.: The Law Library of Congress, Global Legal Research Directorate, August, 2021. Pdf.</w:t>
      </w:r>
      <w:hyperlink r:id="rId41">
        <w:r>
          <w:rPr>
            <w:rFonts w:ascii="Times New Roman" w:eastAsia="Times New Roman" w:hAnsi="Times New Roman" w:cs="Times New Roman"/>
            <w:color w:val="7A0808"/>
            <w:sz w:val="20"/>
            <w:szCs w:val="20"/>
          </w:rPr>
          <w:t xml:space="preserve"> </w:t>
        </w:r>
      </w:hyperlink>
      <w:hyperlink r:id="rId42">
        <w:r>
          <w:rPr>
            <w:rFonts w:ascii="Times New Roman" w:eastAsia="Times New Roman" w:hAnsi="Times New Roman" w:cs="Times New Roman"/>
            <w:color w:val="7A0808"/>
            <w:sz w:val="20"/>
            <w:szCs w:val="20"/>
            <w:u w:val="single"/>
          </w:rPr>
          <w:t>https://www.loc.gov/item/2021687414/</w:t>
        </w:r>
      </w:hyperlink>
      <w:r>
        <w:rPr>
          <w:rFonts w:ascii="Times New Roman" w:eastAsia="Times New Roman" w:hAnsi="Times New Roman" w:cs="Times New Roman"/>
          <w:color w:val="7A0808"/>
          <w:sz w:val="20"/>
          <w:szCs w:val="20"/>
        </w:rPr>
        <w:t>, 67.</w:t>
      </w:r>
    </w:p>
  </w:footnote>
  <w:footnote w:id="40">
    <w:p w14:paraId="718A3859"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Yee, Gerald. “Eight Years on - an Overview of the Belt and Road Initiative.” The Singapore Law Gazette, November 23, 2021.</w:t>
      </w:r>
      <w:hyperlink r:id="rId43">
        <w:r>
          <w:rPr>
            <w:rFonts w:ascii="Times New Roman" w:eastAsia="Times New Roman" w:hAnsi="Times New Roman" w:cs="Times New Roman"/>
            <w:color w:val="7A0808"/>
            <w:sz w:val="20"/>
            <w:szCs w:val="20"/>
          </w:rPr>
          <w:t xml:space="preserve"> </w:t>
        </w:r>
      </w:hyperlink>
      <w:hyperlink r:id="rId44">
        <w:r>
          <w:rPr>
            <w:rFonts w:ascii="Times New Roman" w:eastAsia="Times New Roman" w:hAnsi="Times New Roman" w:cs="Times New Roman"/>
            <w:color w:val="7A0808"/>
            <w:sz w:val="20"/>
            <w:szCs w:val="20"/>
            <w:u w:val="single"/>
          </w:rPr>
          <w:t>https://lawgazette.com.sg/news/updates/eight-years-on-belt-road-legal-insurance/</w:t>
        </w:r>
      </w:hyperlink>
      <w:r>
        <w:rPr>
          <w:rFonts w:ascii="Times New Roman" w:eastAsia="Times New Roman" w:hAnsi="Times New Roman" w:cs="Times New Roman"/>
          <w:color w:val="7A0808"/>
          <w:sz w:val="20"/>
          <w:szCs w:val="20"/>
        </w:rPr>
        <w:t>.</w:t>
      </w:r>
    </w:p>
  </w:footnote>
  <w:footnote w:id="41">
    <w:p w14:paraId="5EA0A398"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 xml:space="preserve">Ahmad, Tariq, Author, Laney Zhang, Nicolas Boring, George Sadek, Hanibal Goitom, Sayuri Umeda, Kelly Buchanan, et al. </w:t>
      </w:r>
      <w:r>
        <w:rPr>
          <w:rFonts w:ascii="Times New Roman" w:eastAsia="Times New Roman" w:hAnsi="Times New Roman" w:cs="Times New Roman"/>
          <w:i/>
          <w:iCs/>
          <w:color w:val="7A0808"/>
          <w:sz w:val="20"/>
          <w:szCs w:val="20"/>
        </w:rPr>
        <w:t>Belt and Road Initiative: China, Cambodia, Caribbean Countries, Djibouti, Egypt, Greece, Kenya, Luxembourg, Malaysia, Pakistan, Philippines, Portugal, Russian Federation and Central Asian Countries, South America, Sweden, Switzerland, United Kingdom. Washington, D.C</w:t>
      </w:r>
      <w:r>
        <w:rPr>
          <w:rFonts w:ascii="Times New Roman" w:eastAsia="Times New Roman" w:hAnsi="Times New Roman" w:cs="Times New Roman"/>
          <w:color w:val="7A0808"/>
          <w:sz w:val="20"/>
          <w:szCs w:val="20"/>
        </w:rPr>
        <w:t>.: The Law Library of Congress, Global Legal Research Directorate, August, 2021. Pdf.</w:t>
      </w:r>
      <w:hyperlink r:id="rId45">
        <w:r>
          <w:rPr>
            <w:rFonts w:ascii="Times New Roman" w:eastAsia="Times New Roman" w:hAnsi="Times New Roman" w:cs="Times New Roman"/>
            <w:color w:val="7A0808"/>
            <w:sz w:val="20"/>
            <w:szCs w:val="20"/>
          </w:rPr>
          <w:t xml:space="preserve"> </w:t>
        </w:r>
      </w:hyperlink>
      <w:hyperlink r:id="rId46">
        <w:r>
          <w:rPr>
            <w:rFonts w:ascii="Times New Roman" w:eastAsia="Times New Roman" w:hAnsi="Times New Roman" w:cs="Times New Roman"/>
            <w:color w:val="7A0808"/>
            <w:sz w:val="20"/>
            <w:szCs w:val="20"/>
            <w:u w:val="single"/>
          </w:rPr>
          <w:t>https://www.loc.gov/item/2021687414/</w:t>
        </w:r>
      </w:hyperlink>
      <w:r>
        <w:rPr>
          <w:rFonts w:ascii="Times New Roman" w:eastAsia="Times New Roman" w:hAnsi="Times New Roman" w:cs="Times New Roman"/>
          <w:color w:val="7A0808"/>
          <w:sz w:val="20"/>
          <w:szCs w:val="20"/>
        </w:rPr>
        <w:t>, 124.</w:t>
      </w:r>
    </w:p>
  </w:footnote>
  <w:footnote w:id="42">
    <w:p w14:paraId="53B0E266"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Chheang, Vannarith. “2021/99 ‘BRI Projects in Cambodia and Laos Roll on despite Covid-19’ .” ISEAS, July 27, 2021.</w:t>
      </w:r>
      <w:hyperlink r:id="rId47" w:anchor=":~:text=MAIN%20BRI%20PROJECTS%20IN%20LAOS&amp;text=The%20Sino%2DLao%20and%20Sino,construct%2C%20connecting%20Kunming%20with%20Singapore">
        <w:r>
          <w:rPr>
            <w:rFonts w:ascii="Times New Roman" w:eastAsia="Times New Roman" w:hAnsi="Times New Roman" w:cs="Times New Roman"/>
            <w:color w:val="7A0808"/>
            <w:sz w:val="20"/>
            <w:szCs w:val="20"/>
          </w:rPr>
          <w:t xml:space="preserve"> </w:t>
        </w:r>
      </w:hyperlink>
      <w:hyperlink r:id="rId48" w:anchor=":~:text=MAIN%20BRI%20PROJECTS%20IN%20LAOS&amp;text=The%20Sino%2DLao%20and%20Sino,construct%2C%20connecting%20Kunming%20with%20Singapore">
        <w:r>
          <w:rPr>
            <w:rFonts w:ascii="Times New Roman" w:eastAsia="Times New Roman" w:hAnsi="Times New Roman" w:cs="Times New Roman"/>
            <w:color w:val="7A0808"/>
            <w:sz w:val="20"/>
            <w:szCs w:val="20"/>
            <w:u w:val="single"/>
          </w:rPr>
          <w:t>https://www.iseas.edu.sg/articles-commentaries/iseas-perspective/2021-99-bri-projects-in-cambodia-and-laos-roll-on-despite-covid-19-by-vannarith-chheang/#:~:text=MAIN%20BRI%20PROJECTS%20IN%20LAOS&amp;text=The%20Sino%2DLao%20and%20Sino,construct%2C%20connecting%20Kunming%20with%20Singapore</w:t>
        </w:r>
      </w:hyperlink>
      <w:r>
        <w:rPr>
          <w:rFonts w:ascii="Times New Roman" w:eastAsia="Times New Roman" w:hAnsi="Times New Roman" w:cs="Times New Roman"/>
          <w:color w:val="7A0808"/>
          <w:sz w:val="20"/>
          <w:szCs w:val="20"/>
        </w:rPr>
        <w:t>.</w:t>
      </w:r>
    </w:p>
  </w:footnote>
  <w:footnote w:id="43">
    <w:p w14:paraId="43EA3746"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McBeth, John. “China's Belt and Road Staggers and Stalls in Indonesia.” Asia Times. Asia Times, September 17, 2022.</w:t>
      </w:r>
      <w:hyperlink r:id="rId49">
        <w:r>
          <w:rPr>
            <w:rFonts w:ascii="Times New Roman" w:eastAsia="Times New Roman" w:hAnsi="Times New Roman" w:cs="Times New Roman"/>
            <w:color w:val="7A0808"/>
            <w:sz w:val="20"/>
            <w:szCs w:val="20"/>
          </w:rPr>
          <w:t xml:space="preserve"> </w:t>
        </w:r>
      </w:hyperlink>
      <w:hyperlink r:id="rId50">
        <w:r>
          <w:rPr>
            <w:rFonts w:ascii="Times New Roman" w:eastAsia="Times New Roman" w:hAnsi="Times New Roman" w:cs="Times New Roman"/>
            <w:color w:val="7A0808"/>
            <w:sz w:val="20"/>
            <w:szCs w:val="20"/>
            <w:u w:val="single"/>
          </w:rPr>
          <w:t>https://asiatimes.com/2022/07/chinas-belt-and-road-staggers-and-stalls-in-indonesia/</w:t>
        </w:r>
      </w:hyperlink>
      <w:r>
        <w:rPr>
          <w:rFonts w:ascii="Times New Roman" w:eastAsia="Times New Roman" w:hAnsi="Times New Roman" w:cs="Times New Roman"/>
          <w:color w:val="7A0808"/>
          <w:sz w:val="20"/>
          <w:szCs w:val="20"/>
        </w:rPr>
        <w:t>.</w:t>
      </w:r>
    </w:p>
  </w:footnote>
  <w:footnote w:id="44">
    <w:p w14:paraId="0B575891"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Ahmad, Tariq, Author, Laney Zhang, Nicolas Boring, George Sadek, Hanibal Goitom, Sayuri Umeda, Kelly Buchanan, et al. </w:t>
      </w:r>
      <w:r>
        <w:rPr>
          <w:rFonts w:ascii="Times New Roman" w:eastAsia="Times New Roman" w:hAnsi="Times New Roman" w:cs="Times New Roman"/>
          <w:i/>
          <w:iCs/>
          <w:color w:val="7A0808"/>
          <w:sz w:val="20"/>
          <w:szCs w:val="20"/>
        </w:rPr>
        <w:t>Belt and Road Initiative: China, Cambodia, Caribbean Countries, Djibouti, Egypt, Greece, Kenya, Luxembourg, Malaysia, Pakistan, Philippines, Portugal, Russian Federation and Central Asian Countries, South America, Sweden, Switzerland, United Kingdom. Washington, D.C</w:t>
      </w:r>
      <w:r>
        <w:rPr>
          <w:rFonts w:ascii="Times New Roman" w:eastAsia="Times New Roman" w:hAnsi="Times New Roman" w:cs="Times New Roman"/>
          <w:color w:val="7A0808"/>
          <w:sz w:val="20"/>
          <w:szCs w:val="20"/>
        </w:rPr>
        <w:t>.: The Law Library of Congress, Global Legal Research Directorate, August, 2021. Pdf.</w:t>
      </w:r>
      <w:hyperlink r:id="rId51">
        <w:r>
          <w:rPr>
            <w:rFonts w:ascii="Times New Roman" w:eastAsia="Times New Roman" w:hAnsi="Times New Roman" w:cs="Times New Roman"/>
            <w:color w:val="7A0808"/>
            <w:sz w:val="20"/>
            <w:szCs w:val="20"/>
          </w:rPr>
          <w:t xml:space="preserve"> </w:t>
        </w:r>
      </w:hyperlink>
      <w:hyperlink r:id="rId52">
        <w:r>
          <w:rPr>
            <w:rFonts w:ascii="Times New Roman" w:eastAsia="Times New Roman" w:hAnsi="Times New Roman" w:cs="Times New Roman"/>
            <w:color w:val="7A0808"/>
            <w:sz w:val="20"/>
            <w:szCs w:val="20"/>
            <w:u w:val="single"/>
          </w:rPr>
          <w:t>https://www.loc.gov/item/2021687414/</w:t>
        </w:r>
      </w:hyperlink>
      <w:r>
        <w:rPr>
          <w:rFonts w:ascii="Times New Roman" w:eastAsia="Times New Roman" w:hAnsi="Times New Roman" w:cs="Times New Roman"/>
          <w:color w:val="7A0808"/>
          <w:sz w:val="20"/>
          <w:szCs w:val="20"/>
        </w:rPr>
        <w:t>, 87.</w:t>
      </w:r>
    </w:p>
  </w:footnote>
  <w:footnote w:id="45">
    <w:p w14:paraId="30ED67E0"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Anh, Dang Viet, and Nguyen Le Quynh Chi. “Cdr – the Belt and Road Initiative: Vietnam: ICLG.” Arbitration,Litigation,Dispute Resolution | CDR Magazine. Global Legal Group. Accessed December 13, 2022.</w:t>
      </w:r>
      <w:hyperlink r:id="rId53" w:anchor=":~:text=The%20remarkable%20BRI%20projects%20in,capital%20of%20USD%202.16%20billion">
        <w:r>
          <w:rPr>
            <w:rFonts w:ascii="Times New Roman" w:eastAsia="Times New Roman" w:hAnsi="Times New Roman" w:cs="Times New Roman"/>
            <w:color w:val="7A0808"/>
            <w:sz w:val="20"/>
            <w:szCs w:val="20"/>
          </w:rPr>
          <w:t xml:space="preserve"> </w:t>
        </w:r>
      </w:hyperlink>
      <w:hyperlink r:id="rId54" w:anchor=":~:text=The%20remarkable%20BRI%20projects%20in,capital%20of%20USD%202.16%20billion">
        <w:r>
          <w:rPr>
            <w:rFonts w:ascii="Times New Roman" w:eastAsia="Times New Roman" w:hAnsi="Times New Roman" w:cs="Times New Roman"/>
            <w:color w:val="7A0808"/>
            <w:sz w:val="20"/>
            <w:szCs w:val="20"/>
            <w:u w:val="single"/>
          </w:rPr>
          <w:t>https://iclg.com/cdr-essential-intelligence/1100-cdr-the-belt-and-road-initiative-2021/vietnam#:~:text=The%20remarkable%20BRI%20projects%20in,capital%20of%20USD%202.16%20billion</w:t>
        </w:r>
      </w:hyperlink>
      <w:r>
        <w:rPr>
          <w:rFonts w:ascii="Times New Roman" w:eastAsia="Times New Roman" w:hAnsi="Times New Roman" w:cs="Times New Roman"/>
          <w:color w:val="7A0808"/>
          <w:sz w:val="20"/>
          <w:szCs w:val="20"/>
        </w:rPr>
        <w:t>.</w:t>
      </w:r>
    </w:p>
  </w:footnote>
  <w:footnote w:id="46">
    <w:p w14:paraId="1EB6D4DE"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 160.</w:t>
      </w:r>
    </w:p>
  </w:footnote>
  <w:footnote w:id="47">
    <w:p w14:paraId="67110FFA"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w:t>
      </w:r>
    </w:p>
  </w:footnote>
  <w:footnote w:id="48">
    <w:p w14:paraId="149EE707"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 xml:space="preserve">Ahmad, Tariq, Author, Laney Zhang, Nicolas Boring, George Sadek, Hanibal Goitom, Sayuri Umeda, Kelly Buchanan, et al. </w:t>
      </w:r>
      <w:r>
        <w:rPr>
          <w:rFonts w:ascii="Times New Roman" w:eastAsia="Times New Roman" w:hAnsi="Times New Roman" w:cs="Times New Roman"/>
          <w:i/>
          <w:iCs/>
          <w:color w:val="7A0808"/>
          <w:sz w:val="20"/>
          <w:szCs w:val="20"/>
        </w:rPr>
        <w:t>Belt and Road Initiative: China, Cambodia, Caribbean Countries, Djibouti, Egypt, Greece, Kenya, Luxembourg, Malaysia, Pakistan, Philippines, Portugal, Russian Federation and Central Asian Countries, South America, Sweden, Switzerland, United Kingdom. Washington, D.C</w:t>
      </w:r>
      <w:r>
        <w:rPr>
          <w:rFonts w:ascii="Times New Roman" w:eastAsia="Times New Roman" w:hAnsi="Times New Roman" w:cs="Times New Roman"/>
          <w:color w:val="7A0808"/>
          <w:sz w:val="20"/>
          <w:szCs w:val="20"/>
        </w:rPr>
        <w:t>.: The Law Library of Congress, Global Legal Research Directorate, August, 2021. Pdf.</w:t>
      </w:r>
      <w:hyperlink r:id="rId55">
        <w:r>
          <w:rPr>
            <w:rFonts w:ascii="Times New Roman" w:eastAsia="Times New Roman" w:hAnsi="Times New Roman" w:cs="Times New Roman"/>
            <w:color w:val="7A0808"/>
            <w:sz w:val="20"/>
            <w:szCs w:val="20"/>
          </w:rPr>
          <w:t xml:space="preserve"> </w:t>
        </w:r>
      </w:hyperlink>
      <w:hyperlink r:id="rId56">
        <w:r>
          <w:rPr>
            <w:rFonts w:ascii="Times New Roman" w:eastAsia="Times New Roman" w:hAnsi="Times New Roman" w:cs="Times New Roman"/>
            <w:color w:val="7A0808"/>
            <w:sz w:val="20"/>
            <w:szCs w:val="20"/>
            <w:u w:val="single"/>
          </w:rPr>
          <w:t>https://www.loc.gov/item/2021687414/</w:t>
        </w:r>
      </w:hyperlink>
      <w:r>
        <w:rPr>
          <w:rFonts w:ascii="Times New Roman" w:eastAsia="Times New Roman" w:hAnsi="Times New Roman" w:cs="Times New Roman"/>
          <w:color w:val="7A0808"/>
          <w:sz w:val="20"/>
          <w:szCs w:val="20"/>
        </w:rPr>
        <w:t>, 37.</w:t>
      </w:r>
    </w:p>
  </w:footnote>
  <w:footnote w:id="49">
    <w:p w14:paraId="2F11BF07"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w:t>
      </w:r>
    </w:p>
  </w:footnote>
  <w:footnote w:id="50">
    <w:p w14:paraId="56DA2DF5"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Embassy of China. “Latest Progress on the CPEC.” Latest progress on the CPEC. Accessed December 13, 2022.</w:t>
      </w:r>
      <w:hyperlink r:id="rId57">
        <w:r>
          <w:rPr>
            <w:rFonts w:ascii="Times New Roman" w:eastAsia="Times New Roman" w:hAnsi="Times New Roman" w:cs="Times New Roman"/>
            <w:color w:val="7A0808"/>
            <w:sz w:val="20"/>
            <w:szCs w:val="20"/>
          </w:rPr>
          <w:t xml:space="preserve"> </w:t>
        </w:r>
      </w:hyperlink>
      <w:hyperlink r:id="rId58">
        <w:r>
          <w:rPr>
            <w:rFonts w:ascii="Times New Roman" w:eastAsia="Times New Roman" w:hAnsi="Times New Roman" w:cs="Times New Roman"/>
            <w:color w:val="7A0808"/>
            <w:sz w:val="20"/>
            <w:szCs w:val="20"/>
            <w:u w:val="single"/>
          </w:rPr>
          <w:t>http://pk.china-embassy.gov.cn/eng/zbgx/201812/t20181230_1134724.htm</w:t>
        </w:r>
      </w:hyperlink>
      <w:r>
        <w:rPr>
          <w:rFonts w:ascii="Times New Roman" w:eastAsia="Times New Roman" w:hAnsi="Times New Roman" w:cs="Times New Roman"/>
          <w:color w:val="7A0808"/>
          <w:sz w:val="20"/>
          <w:szCs w:val="20"/>
        </w:rPr>
        <w:t>.</w:t>
      </w:r>
    </w:p>
  </w:footnote>
  <w:footnote w:id="51">
    <w:p w14:paraId="0B21F59C"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sz w:val="20"/>
          <w:szCs w:val="20"/>
        </w:rPr>
        <w:t xml:space="preserve"> </w:t>
      </w:r>
      <w:r>
        <w:rPr>
          <w:rFonts w:ascii="Times New Roman" w:eastAsia="Times New Roman" w:hAnsi="Times New Roman" w:cs="Times New Roman"/>
          <w:color w:val="7A0808"/>
          <w:sz w:val="20"/>
          <w:szCs w:val="20"/>
        </w:rPr>
        <w:t>Ahmad, Tariq, Author, Laney Zhang, Nicolas Boring, George Sadek, Hanibal Goitom, Sayuri Umeda, Kelly Buchanan, et al. Belt and Road Initiative: China, Cambodia, Caribbean Countries, Djibouti, Egypt, Greece, Kenya, Luxembourg, Malaysia, Pakistan, Philippines, Portugal, Russian Federation and Central Asian Countries, South America, Sweden, Switzerland, United Kingdom. Washington, D.C.: The Law Library of Congress, Global Legal Research Directorate, August, 2021. Pdf. https://www.loc.gov/item/2021687414/,16.</w:t>
      </w:r>
    </w:p>
  </w:footnote>
  <w:footnote w:id="52">
    <w:p w14:paraId="30D820D6" w14:textId="77777777" w:rsidR="00AF6963" w:rsidRDefault="00000000">
      <w:pPr>
        <w:spacing w:after="0" w:line="240" w:lineRule="auto"/>
        <w:rPr>
          <w:sz w:val="20"/>
          <w:szCs w:val="20"/>
        </w:rPr>
      </w:pPr>
      <w:r>
        <w:rPr>
          <w:vertAlign w:val="superscript"/>
        </w:rPr>
        <w:footnoteRef/>
      </w:r>
      <w:r>
        <w:rPr>
          <w:rFonts w:ascii="Times New Roman" w:eastAsia="Times New Roman" w:hAnsi="Times New Roman" w:cs="Times New Roman"/>
          <w:color w:val="7A0808"/>
          <w:sz w:val="20"/>
          <w:szCs w:val="20"/>
        </w:rPr>
        <w:t xml:space="preserve"> Ibid, 15</w:t>
      </w:r>
      <w:r>
        <w:rPr>
          <w:rFonts w:ascii="Arial" w:eastAsia="Arial" w:hAnsi="Arial" w:cs="Arial"/>
          <w:sz w:val="18"/>
          <w:szCs w:val="18"/>
        </w:rPr>
        <w:t>.</w:t>
      </w:r>
    </w:p>
  </w:footnote>
  <w:footnote w:id="53">
    <w:p w14:paraId="6E70904D"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 25.</w:t>
      </w:r>
    </w:p>
  </w:footnote>
  <w:footnote w:id="54">
    <w:p w14:paraId="6F5CBCA7" w14:textId="77777777" w:rsidR="00AF6963" w:rsidRDefault="00000000">
      <w:pPr>
        <w:spacing w:after="0" w:line="240" w:lineRule="auto"/>
        <w:rPr>
          <w:sz w:val="20"/>
          <w:szCs w:val="20"/>
        </w:rPr>
      </w:pPr>
      <w:r>
        <w:rPr>
          <w:vertAlign w:val="superscript"/>
        </w:rPr>
        <w:footnoteRef/>
      </w:r>
      <w:r>
        <w:rPr>
          <w:rFonts w:ascii="Times New Roman" w:eastAsia="Times New Roman" w:hAnsi="Times New Roman" w:cs="Times New Roman"/>
          <w:color w:val="7A0808"/>
          <w:sz w:val="20"/>
          <w:szCs w:val="20"/>
        </w:rPr>
        <w:t xml:space="preserve"> Stewart, Megan A., Gönül Tol, and Yörük Işık. “China's Belt and Road Initiative (BRI) and Turkey's Middle Corridor: ‘Win-Win Cooperation’?” Middle East Institute, December 7, 2022. </w:t>
      </w:r>
      <w:hyperlink r:id="rId59">
        <w:r>
          <w:rPr>
            <w:rFonts w:ascii="Times New Roman" w:eastAsia="Times New Roman" w:hAnsi="Times New Roman" w:cs="Times New Roman"/>
            <w:color w:val="7A0808"/>
            <w:sz w:val="20"/>
            <w:szCs w:val="20"/>
            <w:u w:val="single"/>
          </w:rPr>
          <w:t>https://www.mei.edu/publications/chinas-belt-and-road-initiative-bri-and-turkeys-middle-corridor-win-win-cooperation</w:t>
        </w:r>
      </w:hyperlink>
      <w:r>
        <w:rPr>
          <w:rFonts w:ascii="Arial" w:eastAsia="Arial" w:hAnsi="Arial" w:cs="Arial"/>
          <w:sz w:val="20"/>
          <w:szCs w:val="20"/>
        </w:rPr>
        <w:t xml:space="preserve">.   </w:t>
      </w:r>
    </w:p>
  </w:footnote>
  <w:footnote w:id="55">
    <w:p w14:paraId="53BE350C" w14:textId="77777777" w:rsidR="00AF6963" w:rsidRDefault="00000000">
      <w:pPr>
        <w:spacing w:after="0" w:line="240" w:lineRule="auto"/>
        <w:rPr>
          <w:sz w:val="20"/>
          <w:szCs w:val="20"/>
        </w:rPr>
      </w:pPr>
      <w:r>
        <w:rPr>
          <w:vertAlign w:val="superscript"/>
        </w:rPr>
        <w:footnoteRef/>
      </w:r>
      <w:r>
        <w:rPr>
          <w:rFonts w:ascii="Gungsuh" w:eastAsia="Gungsuh" w:hAnsi="Gungsuh" w:cs="Gungsuh"/>
          <w:color w:val="7A0808"/>
          <w:sz w:val="20"/>
          <w:szCs w:val="20"/>
        </w:rPr>
        <w:t xml:space="preserve"> 孙晓宇. “BRI Provides Benefits for Bangladesh.” Chinadaily.com.cn. Accessed December 13, 2022.</w:t>
      </w:r>
      <w:hyperlink r:id="rId60">
        <w:r>
          <w:rPr>
            <w:rFonts w:ascii="Times New Roman" w:eastAsia="Times New Roman" w:hAnsi="Times New Roman" w:cs="Times New Roman"/>
            <w:color w:val="7A0808"/>
            <w:sz w:val="20"/>
            <w:szCs w:val="20"/>
          </w:rPr>
          <w:t xml:space="preserve"> </w:t>
        </w:r>
      </w:hyperlink>
      <w:hyperlink r:id="rId61">
        <w:r>
          <w:rPr>
            <w:rFonts w:ascii="Times New Roman" w:eastAsia="Times New Roman" w:hAnsi="Times New Roman" w:cs="Times New Roman"/>
            <w:color w:val="7A0808"/>
            <w:sz w:val="20"/>
            <w:szCs w:val="20"/>
            <w:u w:val="single"/>
          </w:rPr>
          <w:t>https://global.chinadaily.com.cn/a/202110/11/WS6163e762a310cdd39bc6e219.html</w:t>
        </w:r>
      </w:hyperlink>
      <w:r>
        <w:rPr>
          <w:rFonts w:ascii="Times New Roman" w:eastAsia="Times New Roman" w:hAnsi="Times New Roman" w:cs="Times New Roman"/>
          <w:color w:val="7A0808"/>
          <w:sz w:val="20"/>
          <w:szCs w:val="20"/>
        </w:rPr>
        <w:t>.</w:t>
      </w:r>
      <w:r>
        <w:rPr>
          <w:rFonts w:ascii="Arial" w:eastAsia="Arial" w:hAnsi="Arial" w:cs="Arial"/>
          <w:sz w:val="18"/>
          <w:szCs w:val="18"/>
        </w:rPr>
        <w:t xml:space="preserve">    </w:t>
      </w:r>
    </w:p>
  </w:footnote>
  <w:footnote w:id="56">
    <w:p w14:paraId="4305FA3B"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Scissors, Derek. “China Global Investment Tracker | American Enterprise Institute - AEI.” Accessed December 6, 2022.</w:t>
      </w:r>
      <w:hyperlink r:id="rId62">
        <w:r>
          <w:rPr>
            <w:rFonts w:ascii="Times New Roman" w:eastAsia="Times New Roman" w:hAnsi="Times New Roman" w:cs="Times New Roman"/>
            <w:color w:val="7A0808"/>
            <w:sz w:val="20"/>
            <w:szCs w:val="20"/>
          </w:rPr>
          <w:t xml:space="preserve"> </w:t>
        </w:r>
      </w:hyperlink>
      <w:hyperlink r:id="rId63">
        <w:r>
          <w:rPr>
            <w:rFonts w:ascii="Times New Roman" w:eastAsia="Times New Roman" w:hAnsi="Times New Roman" w:cs="Times New Roman"/>
            <w:color w:val="7A0808"/>
            <w:sz w:val="20"/>
            <w:szCs w:val="20"/>
            <w:u w:val="single"/>
          </w:rPr>
          <w:t>https://www.aei.org/china-global-investment-tracker/</w:t>
        </w:r>
      </w:hyperlink>
      <w:r>
        <w:rPr>
          <w:rFonts w:ascii="Times New Roman" w:eastAsia="Times New Roman" w:hAnsi="Times New Roman" w:cs="Times New Roman"/>
          <w:color w:val="7A0808"/>
          <w:sz w:val="20"/>
          <w:szCs w:val="20"/>
        </w:rPr>
        <w:t>.</w:t>
      </w:r>
    </w:p>
  </w:footnote>
  <w:footnote w:id="57">
    <w:p w14:paraId="575D8059"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Ibid. </w:t>
      </w:r>
    </w:p>
  </w:footnote>
  <w:footnote w:id="58">
    <w:p w14:paraId="3911CB25" w14:textId="77777777" w:rsidR="00AF6963" w:rsidRDefault="00000000">
      <w:pPr>
        <w:spacing w:after="0" w:line="240" w:lineRule="auto"/>
        <w:rPr>
          <w:rFonts w:ascii="Times New Roman" w:eastAsia="Times New Roman" w:hAnsi="Times New Roman" w:cs="Times New Roman"/>
          <w:color w:val="7A0808"/>
          <w:sz w:val="20"/>
          <w:szCs w:val="20"/>
        </w:rPr>
      </w:pPr>
      <w:r>
        <w:rPr>
          <w:vertAlign w:val="superscript"/>
        </w:rPr>
        <w:footnoteRef/>
      </w:r>
      <w:r>
        <w:rPr>
          <w:rFonts w:ascii="Times New Roman" w:eastAsia="Times New Roman" w:hAnsi="Times New Roman" w:cs="Times New Roman"/>
          <w:color w:val="7A0808"/>
          <w:sz w:val="20"/>
          <w:szCs w:val="20"/>
        </w:rPr>
        <w:t xml:space="preserve"> Scissors, Derek. “China Global Investment Tracker | American Enterprise Institute - AEI.” Accessed December 6, 2022.</w:t>
      </w:r>
      <w:hyperlink r:id="rId64">
        <w:r>
          <w:rPr>
            <w:rFonts w:ascii="Times New Roman" w:eastAsia="Times New Roman" w:hAnsi="Times New Roman" w:cs="Times New Roman"/>
            <w:color w:val="7A0808"/>
            <w:sz w:val="20"/>
            <w:szCs w:val="20"/>
          </w:rPr>
          <w:t xml:space="preserve"> </w:t>
        </w:r>
      </w:hyperlink>
      <w:hyperlink r:id="rId65">
        <w:r>
          <w:rPr>
            <w:rFonts w:ascii="Times New Roman" w:eastAsia="Times New Roman" w:hAnsi="Times New Roman" w:cs="Times New Roman"/>
            <w:color w:val="7A0808"/>
            <w:sz w:val="20"/>
            <w:szCs w:val="20"/>
            <w:u w:val="single"/>
          </w:rPr>
          <w:t>https://www.aei.org/china-global-investment-tracker/</w:t>
        </w:r>
      </w:hyperlink>
      <w:r>
        <w:rPr>
          <w:rFonts w:ascii="Times New Roman" w:eastAsia="Times New Roman" w:hAnsi="Times New Roman" w:cs="Times New Roman"/>
          <w:color w:val="7A0808"/>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FEAF" w14:textId="77777777" w:rsidR="00AF6963" w:rsidRDefault="00000000">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7A0808"/>
      </w:rPr>
    </w:pPr>
    <w:r>
      <w:rPr>
        <w:rFonts w:ascii="Crimson Text" w:eastAsia="Crimson Text" w:hAnsi="Crimson Text" w:cs="Crimson Text"/>
        <w:color w:val="7A0808"/>
      </w:rPr>
      <w:t>Gadfly Undergraduate Journal of Political Science | 2026</w:t>
    </w:r>
    <w:r>
      <w:rPr>
        <w:rFonts w:ascii="Crimson Text" w:eastAsia="Crimson Text" w:hAnsi="Crimson Text" w:cs="Crimson Text"/>
        <w:color w:val="7A0808"/>
      </w:rPr>
      <w:tab/>
    </w:r>
  </w:p>
  <w:p w14:paraId="16876089" w14:textId="77777777" w:rsidR="00AF6963" w:rsidRDefault="00AF6963">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24B7E"/>
    <w:multiLevelType w:val="multilevel"/>
    <w:tmpl w:val="B492F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A9B1B95"/>
    <w:multiLevelType w:val="multilevel"/>
    <w:tmpl w:val="CF80F0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D1F416A"/>
    <w:multiLevelType w:val="multilevel"/>
    <w:tmpl w:val="787EF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35406663">
    <w:abstractNumId w:val="0"/>
  </w:num>
  <w:num w:numId="2" w16cid:durableId="1728214142">
    <w:abstractNumId w:val="1"/>
  </w:num>
  <w:num w:numId="3" w16cid:durableId="1365323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63"/>
    <w:rsid w:val="00AF6963"/>
    <w:rsid w:val="00DD7A5E"/>
    <w:rsid w:val="00DE729A"/>
    <w:rsid w:val="00E751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CBCD588"/>
  <w15:docId w15:val="{6163119F-745A-334D-A4D5-06BBEA48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1"/>
        <w:szCs w:val="21"/>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rimson Text" w:eastAsia="Crimson Text" w:hAnsi="Crimson Text" w:cs="Crimson Text"/>
      <w:b/>
      <w:bCs/>
      <w:color w:val="7A0808"/>
      <w:sz w:val="32"/>
      <w:szCs w:val="32"/>
    </w:rPr>
  </w:style>
  <w:style w:type="paragraph" w:styleId="Heading2">
    <w:name w:val="heading 2"/>
    <w:basedOn w:val="Normal"/>
    <w:next w:val="Normal"/>
    <w:uiPriority w:val="9"/>
    <w:unhideWhenUsed/>
    <w:qFormat/>
    <w:pPr>
      <w:keepNext/>
      <w:keepLines/>
      <w:spacing w:before="40"/>
      <w:outlineLvl w:val="1"/>
    </w:pPr>
    <w:rPr>
      <w:rFonts w:ascii="Crimson Text" w:eastAsia="Crimson Text" w:hAnsi="Crimson Text" w:cs="Crimson Text"/>
      <w:b/>
      <w:bCs/>
      <w:color w:val="A0504F"/>
      <w:sz w:val="28"/>
      <w:szCs w:val="28"/>
    </w:rPr>
  </w:style>
  <w:style w:type="paragraph" w:styleId="Heading3">
    <w:name w:val="heading 3"/>
    <w:basedOn w:val="Normal"/>
    <w:next w:val="Normal"/>
    <w:uiPriority w:val="9"/>
    <w:unhideWhenUsed/>
    <w:qFormat/>
    <w:pPr>
      <w:keepNext/>
      <w:keepLines/>
      <w:spacing w:before="40"/>
      <w:outlineLvl w:val="2"/>
    </w:pPr>
    <w:rPr>
      <w:rFonts w:ascii="Crimson Text" w:eastAsia="Crimson Text" w:hAnsi="Crimson Text" w:cs="Crimson Text"/>
      <w:b/>
      <w:bCs/>
      <w:color w:val="7284A8"/>
      <w:sz w:val="28"/>
      <w:szCs w:val="28"/>
    </w:rPr>
  </w:style>
  <w:style w:type="paragraph" w:styleId="Heading4">
    <w:name w:val="heading 4"/>
    <w:basedOn w:val="Normal"/>
    <w:next w:val="Normal"/>
    <w:uiPriority w:val="9"/>
    <w:semiHidden/>
    <w:unhideWhenUsed/>
    <w:qFormat/>
    <w:pPr>
      <w:keepNext/>
      <w:keepLines/>
      <w:spacing w:before="40"/>
      <w:outlineLvl w:val="3"/>
    </w:pPr>
    <w:rPr>
      <w:rFonts w:ascii="Crimson Text" w:eastAsia="Crimson Text" w:hAnsi="Crimson Text" w:cs="Crimson Text"/>
      <w:i/>
      <w:iCs/>
      <w:color w:val="5B0505"/>
      <w:sz w:val="22"/>
      <w:szCs w:val="22"/>
    </w:rPr>
  </w:style>
  <w:style w:type="paragraph" w:styleId="Heading5">
    <w:name w:val="heading 5"/>
    <w:basedOn w:val="Normal"/>
    <w:next w:val="Normal"/>
    <w:uiPriority w:val="9"/>
    <w:semiHidden/>
    <w:unhideWhenUsed/>
    <w:qFormat/>
    <w:pPr>
      <w:keepNext/>
      <w:keepLines/>
      <w:spacing w:before="40"/>
      <w:outlineLvl w:val="4"/>
    </w:pPr>
    <w:rPr>
      <w:rFonts w:ascii="Crimson Text" w:eastAsia="Crimson Text" w:hAnsi="Crimson Text" w:cs="Crimson Text"/>
      <w:color w:val="5B0505"/>
      <w:sz w:val="22"/>
      <w:szCs w:val="22"/>
    </w:rPr>
  </w:style>
  <w:style w:type="paragraph" w:styleId="Heading6">
    <w:name w:val="heading 6"/>
    <w:basedOn w:val="Normal"/>
    <w:next w:val="Normal"/>
    <w:uiPriority w:val="9"/>
    <w:semiHidden/>
    <w:unhideWhenUsed/>
    <w:qFormat/>
    <w:pPr>
      <w:keepNext/>
      <w:keepLines/>
      <w:spacing w:before="40"/>
      <w:outlineLvl w:val="5"/>
    </w:pPr>
    <w:rPr>
      <w:rFonts w:ascii="Crimson Text" w:eastAsia="Crimson Text" w:hAnsi="Crimson Text" w:cs="Crimson Tex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Crimson Text" w:eastAsia="Crimson Text" w:hAnsi="Crimson Text" w:cs="Crimson Text"/>
      <w:b/>
      <w:bCs/>
      <w:color w:val="7A0808"/>
      <w:sz w:val="56"/>
      <w:szCs w:val="56"/>
    </w:rPr>
  </w:style>
  <w:style w:type="paragraph" w:styleId="Subtitle">
    <w:name w:val="Subtitle"/>
    <w:basedOn w:val="Normal"/>
    <w:next w:val="Normal"/>
    <w:uiPriority w:val="11"/>
    <w:qFormat/>
    <w:pPr>
      <w:spacing w:after="160"/>
      <w:jc w:val="center"/>
    </w:pPr>
    <w:rPr>
      <w:i/>
      <w:iCs/>
      <w:color w:val="A0504F"/>
      <w:sz w:val="24"/>
      <w:szCs w:val="24"/>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chinadailyhk.com/article/256991" TargetMode="External"/><Relationship Id="rId21" Type="http://schemas.openxmlformats.org/officeDocument/2006/relationships/hyperlink" Target="https://www.silkroadbriefing.com/news/2021/07/27/algeria-to-coordinate-national-development-plans-with-chinas-belt-and-road-initiative/" TargetMode="External"/><Relationship Id="rId42" Type="http://schemas.openxmlformats.org/officeDocument/2006/relationships/hyperlink" Target="https://greenfdc.org/countries-of-the-belt-and-road-initiative-bri/" TargetMode="External"/><Relationship Id="rId47" Type="http://schemas.openxmlformats.org/officeDocument/2006/relationships/hyperlink" Target="http://english.scio.gov.cn/beltandroad/2020-08/04/content_76345602.htm" TargetMode="External"/><Relationship Id="rId63" Type="http://schemas.openxmlformats.org/officeDocument/2006/relationships/image" Target="media/image17.png"/><Relationship Id="rId68" Type="http://schemas.openxmlformats.org/officeDocument/2006/relationships/image" Target="media/image22.png"/><Relationship Id="rId16" Type="http://schemas.openxmlformats.org/officeDocument/2006/relationships/hyperlink" Target="https://iclg.com/cdr-essential-intelligence/1100-cdr-the-belt-and-road-initiative-2021/vietnam" TargetMode="External"/><Relationship Id="rId11" Type="http://schemas.openxmlformats.org/officeDocument/2006/relationships/hyperlink" Target="http://www.sais-cari.org/publications" TargetMode="External"/><Relationship Id="rId32" Type="http://schemas.openxmlformats.org/officeDocument/2006/relationships/hyperlink" Target="https://asiatimes.com/2022/07/chinas-belt-and-road-staggers-and-stalls-in-indonesia/" TargetMode="External"/><Relationship Id="rId37" Type="http://schemas.openxmlformats.org/officeDocument/2006/relationships/hyperlink" Target="https://country.eiu.com/article.aspx?articleid=1857968369" TargetMode="External"/><Relationship Id="rId53" Type="http://schemas.openxmlformats.org/officeDocument/2006/relationships/image" Target="media/image7.png"/><Relationship Id="rId58" Type="http://schemas.openxmlformats.org/officeDocument/2006/relationships/image" Target="media/image12.png"/><Relationship Id="rId74" Type="http://schemas.openxmlformats.org/officeDocument/2006/relationships/image" Target="media/image28.png"/><Relationship Id="rId79" Type="http://schemas.openxmlformats.org/officeDocument/2006/relationships/image" Target="media/image33.png"/><Relationship Id="rId5" Type="http://schemas.openxmlformats.org/officeDocument/2006/relationships/footnotes" Target="footnotes.xml"/><Relationship Id="rId61" Type="http://schemas.openxmlformats.org/officeDocument/2006/relationships/image" Target="media/image15.png"/><Relationship Id="rId82" Type="http://schemas.openxmlformats.org/officeDocument/2006/relationships/fontTable" Target="fontTable.xml"/><Relationship Id="rId19" Type="http://schemas.openxmlformats.org/officeDocument/2006/relationships/hyperlink" Target="https://www.iseas.edu.sg/articles-commentaries/iseas-perspective/2021-99-bri-projects-in-cambodia-and-laos-roll-on-despite-covid-19-by-vannarith-chheang/" TargetMode="External"/><Relationship Id="rId14" Type="http://schemas.openxmlformats.org/officeDocument/2006/relationships/hyperlink" Target="https://www.loc.gov/item/2021687414/" TargetMode="External"/><Relationship Id="rId22" Type="http://schemas.openxmlformats.org/officeDocument/2006/relationships/hyperlink" Target="https://www.silkroadbriefing.com/news/2021/07/27/algeria-to-coordinate-national-development-plans-with-chinas-belt-and-road-initiative/" TargetMode="External"/><Relationship Id="rId27" Type="http://schemas.openxmlformats.org/officeDocument/2006/relationships/hyperlink" Target="https://news.cgtn.com/news/3d3d514f77557a4e7a457a6333566d54/share_p.html" TargetMode="External"/><Relationship Id="rId30" Type="http://schemas.openxmlformats.org/officeDocument/2006/relationships/hyperlink" Target="https://www.chathamhouse.org/2020/08/debunking-myth-debt-trap-diplomacy" TargetMode="External"/><Relationship Id="rId35" Type="http://schemas.openxmlformats.org/officeDocument/2006/relationships/hyperlink" Target="https://www.aei.org/china-global-investment-tracker/" TargetMode="External"/><Relationship Id="rId43" Type="http://schemas.openxmlformats.org/officeDocument/2006/relationships/hyperlink" Target="https://greenfdc.org/countries-of-the-belt-and-road-initiative-bri/" TargetMode="External"/><Relationship Id="rId48" Type="http://schemas.openxmlformats.org/officeDocument/2006/relationships/hyperlink" Target="https://global.chinadaily.com.cn/a/202110/11/WS6163e762a310cdd39bc6e219.html" TargetMode="External"/><Relationship Id="rId56" Type="http://schemas.openxmlformats.org/officeDocument/2006/relationships/image" Target="media/image10.png"/><Relationship Id="rId64" Type="http://schemas.openxmlformats.org/officeDocument/2006/relationships/image" Target="media/image18.png"/><Relationship Id="rId69" Type="http://schemas.openxmlformats.org/officeDocument/2006/relationships/image" Target="media/image23.png"/><Relationship Id="rId77" Type="http://schemas.openxmlformats.org/officeDocument/2006/relationships/image" Target="media/image31.png"/><Relationship Id="rId8" Type="http://schemas.openxmlformats.org/officeDocument/2006/relationships/image" Target="media/image1.png"/><Relationship Id="rId51" Type="http://schemas.openxmlformats.org/officeDocument/2006/relationships/image" Target="media/image5.png"/><Relationship Id="rId72" Type="http://schemas.openxmlformats.org/officeDocument/2006/relationships/image" Target="media/image26.png"/><Relationship Id="rId80"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www.sais-cari.org/publications" TargetMode="External"/><Relationship Id="rId17" Type="http://schemas.openxmlformats.org/officeDocument/2006/relationships/hyperlink" Target="https://asiasociety.org/policy-institute/weaponizing-belt-and-road-initiative" TargetMode="External"/><Relationship Id="rId25" Type="http://schemas.openxmlformats.org/officeDocument/2006/relationships/hyperlink" Target="https://www.chinadailyhk.com/article/256991" TargetMode="External"/><Relationship Id="rId33" Type="http://schemas.openxmlformats.org/officeDocument/2006/relationships/hyperlink" Target="https://doi.org/10.1787/bus_fin_out-2018-6-en" TargetMode="External"/><Relationship Id="rId38" Type="http://schemas.openxmlformats.org/officeDocument/2006/relationships/hyperlink" Target="http://english.www.gov.cn/archive/publications/2015/03/30/content_281475080249035.htm" TargetMode="External"/><Relationship Id="rId46" Type="http://schemas.openxmlformats.org/officeDocument/2006/relationships/hyperlink" Target="http://english.scio.gov.cn/beltandroad/2020-08/04/content_76345602.htm" TargetMode="External"/><Relationship Id="rId59" Type="http://schemas.openxmlformats.org/officeDocument/2006/relationships/image" Target="media/image13.png"/><Relationship Id="rId67" Type="http://schemas.openxmlformats.org/officeDocument/2006/relationships/image" Target="media/image21.png"/><Relationship Id="rId20" Type="http://schemas.openxmlformats.org/officeDocument/2006/relationships/hyperlink" Target="https://www.iseas.edu.sg/articles-commentaries/iseas-perspective/2021-99-bri-projects-in-cambodia-and-laos-roll-on-despite-covid-19-by-vannarith-chheang/" TargetMode="External"/><Relationship Id="rId41" Type="http://schemas.openxmlformats.org/officeDocument/2006/relationships/hyperlink" Target="https://www.mei.edu/publications/chinas-belt-and-road-initiative-bri-and-turkeys-middle-corridor-win-win-cooperation" TargetMode="External"/><Relationship Id="rId54" Type="http://schemas.openxmlformats.org/officeDocument/2006/relationships/image" Target="media/image8.png"/><Relationship Id="rId62" Type="http://schemas.openxmlformats.org/officeDocument/2006/relationships/image" Target="media/image16.png"/><Relationship Id="rId70" Type="http://schemas.openxmlformats.org/officeDocument/2006/relationships/image" Target="media/image24.png"/><Relationship Id="rId75" Type="http://schemas.openxmlformats.org/officeDocument/2006/relationships/image" Target="media/image29.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clg.com/cdr-essential-intelligence/1100-cdr-the-belt-and-road-initiative-2021/vietnam" TargetMode="External"/><Relationship Id="rId23" Type="http://schemas.openxmlformats.org/officeDocument/2006/relationships/hyperlink" Target="http://pk.china-embassy.gov.cn/eng/zbgx/201812/t20181230_1134724.htm" TargetMode="External"/><Relationship Id="rId28" Type="http://schemas.openxmlformats.org/officeDocument/2006/relationships/hyperlink" Target="https://news.cgtn.com/news/3d3d514f77557a4e7a457a6333566d54/share_p.html" TargetMode="External"/><Relationship Id="rId36" Type="http://schemas.openxmlformats.org/officeDocument/2006/relationships/hyperlink" Target="https://country.eiu.com/article.aspx?articleid=1857968369" TargetMode="External"/><Relationship Id="rId49" Type="http://schemas.openxmlformats.org/officeDocument/2006/relationships/hyperlink" Target="https://global.chinadaily.com.cn/a/202110/11/WS6163e762a310cdd39bc6e219.html" TargetMode="External"/><Relationship Id="rId57" Type="http://schemas.openxmlformats.org/officeDocument/2006/relationships/image" Target="media/image11.png"/><Relationship Id="rId10" Type="http://schemas.openxmlformats.org/officeDocument/2006/relationships/image" Target="media/image3.png"/><Relationship Id="rId31" Type="http://schemas.openxmlformats.org/officeDocument/2006/relationships/hyperlink" Target="https://asiatimes.com/2022/07/chinas-belt-and-road-staggers-and-stalls-in-indonesia/" TargetMode="External"/><Relationship Id="rId44" Type="http://schemas.openxmlformats.org/officeDocument/2006/relationships/hyperlink" Target="https://lawgazette.com.sg/news/updates/eight-years-on-belt-road-legal-insurance/" TargetMode="External"/><Relationship Id="rId52" Type="http://schemas.openxmlformats.org/officeDocument/2006/relationships/image" Target="media/image6.png"/><Relationship Id="rId60" Type="http://schemas.openxmlformats.org/officeDocument/2006/relationships/image" Target="media/image14.png"/><Relationship Id="rId65" Type="http://schemas.openxmlformats.org/officeDocument/2006/relationships/image" Target="media/image19.png"/><Relationship Id="rId73" Type="http://schemas.openxmlformats.org/officeDocument/2006/relationships/image" Target="media/image27.png"/><Relationship Id="rId78" Type="http://schemas.openxmlformats.org/officeDocument/2006/relationships/image" Target="media/image32.png"/><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loc.gov/item/2021687414/" TargetMode="External"/><Relationship Id="rId18" Type="http://schemas.openxmlformats.org/officeDocument/2006/relationships/hyperlink" Target="https://asiasociety.org/policy-institute/weaponizing-belt-and-road-initiative" TargetMode="External"/><Relationship Id="rId39" Type="http://schemas.openxmlformats.org/officeDocument/2006/relationships/hyperlink" Target="http://english.www.gov.cn/archive/publications/2015/03/30/content_281475080249035.htm" TargetMode="External"/><Relationship Id="rId34" Type="http://schemas.openxmlformats.org/officeDocument/2006/relationships/hyperlink" Target="https://www.aei.org/china-global-investment-tracker/" TargetMode="External"/><Relationship Id="rId50" Type="http://schemas.openxmlformats.org/officeDocument/2006/relationships/image" Target="media/image4.png"/><Relationship Id="rId55" Type="http://schemas.openxmlformats.org/officeDocument/2006/relationships/image" Target="media/image9.png"/><Relationship Id="rId76" Type="http://schemas.openxmlformats.org/officeDocument/2006/relationships/image" Target="media/image30.png"/><Relationship Id="rId7" Type="http://schemas.openxmlformats.org/officeDocument/2006/relationships/image" Target="media/image34.png"/><Relationship Id="rId71" Type="http://schemas.openxmlformats.org/officeDocument/2006/relationships/image" Target="media/image25.png"/><Relationship Id="rId2" Type="http://schemas.openxmlformats.org/officeDocument/2006/relationships/styles" Target="styles.xml"/><Relationship Id="rId29" Type="http://schemas.openxmlformats.org/officeDocument/2006/relationships/hyperlink" Target="https://www.chathamhouse.org/2020/08/debunking-myth-debt-trap-diplomacy" TargetMode="External"/><Relationship Id="rId24" Type="http://schemas.openxmlformats.org/officeDocument/2006/relationships/hyperlink" Target="http://pk.china-embassy.gov.cn/eng/zbgx/201812/t20181230_1134724.htm" TargetMode="External"/><Relationship Id="rId40" Type="http://schemas.openxmlformats.org/officeDocument/2006/relationships/hyperlink" Target="https://www.mei.edu/publications/chinas-belt-and-road-initiative-bri-and-turkeys-middle-corridor-win-win-cooperation" TargetMode="External"/><Relationship Id="rId45" Type="http://schemas.openxmlformats.org/officeDocument/2006/relationships/hyperlink" Target="https://lawgazette.com.sg/news/updates/eight-years-on-belt-road-legal-insurance/" TargetMode="External"/><Relationship Id="rId66" Type="http://schemas.openxmlformats.org/officeDocument/2006/relationships/image" Target="media/image2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6" Type="http://schemas.openxmlformats.org/officeDocument/2006/relationships/hyperlink" Target="https://news.cgtn.com/news/3d3d514f77557a4e7a457a6333566d54/share_p.html" TargetMode="External"/><Relationship Id="rId21" Type="http://schemas.openxmlformats.org/officeDocument/2006/relationships/hyperlink" Target="https://www.silkroadbriefing.com/news/2021/07/27/algeria-to-coordinate-national-development-plans-with-chinas-belt-and-road-initiative/" TargetMode="External"/><Relationship Id="rId34" Type="http://schemas.openxmlformats.org/officeDocument/2006/relationships/hyperlink" Target="https://www.loc.gov/item/2021687414/" TargetMode="External"/><Relationship Id="rId42" Type="http://schemas.openxmlformats.org/officeDocument/2006/relationships/hyperlink" Target="https://www.loc.gov/item/2021687414/" TargetMode="External"/><Relationship Id="rId47" Type="http://schemas.openxmlformats.org/officeDocument/2006/relationships/hyperlink" Target="https://www.iseas.edu.sg/articles-commentaries/iseas-perspective/2021-99-bri-projects-in-cambodia-and-laos-roll-on-despite-covid-19-by-vannarith-chheang/" TargetMode="External"/><Relationship Id="rId50" Type="http://schemas.openxmlformats.org/officeDocument/2006/relationships/hyperlink" Target="https://asiatimes.com/2022/07/chinas-belt-and-road-staggers-and-stalls-in-indonesia/" TargetMode="External"/><Relationship Id="rId55" Type="http://schemas.openxmlformats.org/officeDocument/2006/relationships/hyperlink" Target="https://www.loc.gov/item/2021687414/" TargetMode="External"/><Relationship Id="rId63" Type="http://schemas.openxmlformats.org/officeDocument/2006/relationships/hyperlink" Target="https://www.aei.org/china-global-investment-tracker/" TargetMode="External"/><Relationship Id="rId7" Type="http://schemas.openxmlformats.org/officeDocument/2006/relationships/hyperlink" Target="https://doi.org/10.5281/zenodo.400614" TargetMode="External"/><Relationship Id="rId2" Type="http://schemas.openxmlformats.org/officeDocument/2006/relationships/hyperlink" Target="http://english.scio.gov.cn/beltandroad/2020-08/04/content_76345602.htm" TargetMode="External"/><Relationship Id="rId16" Type="http://schemas.openxmlformats.org/officeDocument/2006/relationships/hyperlink" Target="https://www.aei.org/china-global-investment-tracker/" TargetMode="External"/><Relationship Id="rId29" Type="http://schemas.openxmlformats.org/officeDocument/2006/relationships/hyperlink" Target="https://www.chinadailyhk.com/article/256991" TargetMode="External"/><Relationship Id="rId11" Type="http://schemas.openxmlformats.org/officeDocument/2006/relationships/hyperlink" Target="https://asiasociety.org/policy-institute/weaponizing-belt-and-road-initiative" TargetMode="External"/><Relationship Id="rId24" Type="http://schemas.openxmlformats.org/officeDocument/2006/relationships/hyperlink" Target="https://www.loc.gov/item/2021687414/" TargetMode="External"/><Relationship Id="rId32" Type="http://schemas.openxmlformats.org/officeDocument/2006/relationships/hyperlink" Target="https://country.eiu.com/article.aspx?articleid=1857968369" TargetMode="External"/><Relationship Id="rId37" Type="http://schemas.openxmlformats.org/officeDocument/2006/relationships/hyperlink" Target="https://www.workers.org/2019/11/44493/" TargetMode="External"/><Relationship Id="rId40" Type="http://schemas.openxmlformats.org/officeDocument/2006/relationships/hyperlink" Target="https://www.loc.gov/item/2021687414/" TargetMode="External"/><Relationship Id="rId45" Type="http://schemas.openxmlformats.org/officeDocument/2006/relationships/hyperlink" Target="https://www.loc.gov/item/2021687414/" TargetMode="External"/><Relationship Id="rId53" Type="http://schemas.openxmlformats.org/officeDocument/2006/relationships/hyperlink" Target="https://iclg.com/cdr-essential-intelligence/1100-cdr-the-belt-and-road-initiative-2021/vietnam" TargetMode="External"/><Relationship Id="rId58" Type="http://schemas.openxmlformats.org/officeDocument/2006/relationships/hyperlink" Target="http://pk.china-embassy.gov.cn/eng/zbgx/201812/t20181230_1134724.htm" TargetMode="External"/><Relationship Id="rId5" Type="http://schemas.openxmlformats.org/officeDocument/2006/relationships/hyperlink" Target="https://doi.org/10.1787/bus_fin_out-2018-6-en" TargetMode="External"/><Relationship Id="rId61" Type="http://schemas.openxmlformats.org/officeDocument/2006/relationships/hyperlink" Target="https://global.chinadaily.com.cn/a/202110/11/WS6163e762a310cdd39bc6e219.html" TargetMode="External"/><Relationship Id="rId19" Type="http://schemas.openxmlformats.org/officeDocument/2006/relationships/hyperlink" Target="https://www.loc.gov/item/2021687414/" TargetMode="External"/><Relationship Id="rId14" Type="http://schemas.openxmlformats.org/officeDocument/2006/relationships/hyperlink" Target="https://asiasociety.org/policy-institute/weaponizing-belt-and-road-initiative" TargetMode="External"/><Relationship Id="rId22" Type="http://schemas.openxmlformats.org/officeDocument/2006/relationships/hyperlink" Target="https://www.silkroadbriefing.com/news/2021/07/27/algeria-to-coordinate-national-development-plans-with-chinas-belt-and-road-initiative/" TargetMode="External"/><Relationship Id="rId27" Type="http://schemas.openxmlformats.org/officeDocument/2006/relationships/hyperlink" Target="https://www.loc.gov/item/2021687414/" TargetMode="External"/><Relationship Id="rId30" Type="http://schemas.openxmlformats.org/officeDocument/2006/relationships/hyperlink" Target="https://www.chinadailyhk.com/article/256991" TargetMode="External"/><Relationship Id="rId35" Type="http://schemas.openxmlformats.org/officeDocument/2006/relationships/hyperlink" Target="https://www.silkroadbriefing.com/news/2021/07/27/algeria-to-coordinate-national-development-plans-with-chinas-belt-and-road-initiative/" TargetMode="External"/><Relationship Id="rId43" Type="http://schemas.openxmlformats.org/officeDocument/2006/relationships/hyperlink" Target="https://lawgazette.com.sg/news/updates/eight-years-on-belt-road-legal-insurance/" TargetMode="External"/><Relationship Id="rId48" Type="http://schemas.openxmlformats.org/officeDocument/2006/relationships/hyperlink" Target="https://www.iseas.edu.sg/articles-commentaries/iseas-perspective/2021-99-bri-projects-in-cambodia-and-laos-roll-on-despite-covid-19-by-vannarith-chheang/" TargetMode="External"/><Relationship Id="rId56" Type="http://schemas.openxmlformats.org/officeDocument/2006/relationships/hyperlink" Target="https://www.loc.gov/item/2021687414/" TargetMode="External"/><Relationship Id="rId64" Type="http://schemas.openxmlformats.org/officeDocument/2006/relationships/hyperlink" Target="https://www.aei.org/china-global-investment-tracker/" TargetMode="External"/><Relationship Id="rId8" Type="http://schemas.openxmlformats.org/officeDocument/2006/relationships/hyperlink" Target="https://doi.org/10.5281/zenodo.400614" TargetMode="External"/><Relationship Id="rId51" Type="http://schemas.openxmlformats.org/officeDocument/2006/relationships/hyperlink" Target="https://www.loc.gov/item/2021687414/" TargetMode="External"/><Relationship Id="rId3" Type="http://schemas.openxmlformats.org/officeDocument/2006/relationships/hyperlink" Target="https://doi.org/10.1787/bus_fin_out-2018-6-en" TargetMode="External"/><Relationship Id="rId12" Type="http://schemas.openxmlformats.org/officeDocument/2006/relationships/hyperlink" Target="https://asiasociety.org/policy-institute/weaponizing-belt-and-road-initiative" TargetMode="External"/><Relationship Id="rId17" Type="http://schemas.openxmlformats.org/officeDocument/2006/relationships/hyperlink" Target="https://asiasociety.org/policy-institute/weaponizing-belt-and-road-initiative" TargetMode="External"/><Relationship Id="rId25" Type="http://schemas.openxmlformats.org/officeDocument/2006/relationships/hyperlink" Target="https://news.cgtn.com/news/3d3d514f77557a4e7a457a6333566d54/share_p.html" TargetMode="External"/><Relationship Id="rId33" Type="http://schemas.openxmlformats.org/officeDocument/2006/relationships/hyperlink" Target="https://www.loc.gov/item/2021687414/" TargetMode="External"/><Relationship Id="rId38" Type="http://schemas.openxmlformats.org/officeDocument/2006/relationships/hyperlink" Target="https://www.workers.org/2019/11/44493/" TargetMode="External"/><Relationship Id="rId46" Type="http://schemas.openxmlformats.org/officeDocument/2006/relationships/hyperlink" Target="https://www.loc.gov/item/2021687414/" TargetMode="External"/><Relationship Id="rId59" Type="http://schemas.openxmlformats.org/officeDocument/2006/relationships/hyperlink" Target="https://www.mei.edu/publications/chinas-belt-and-road-initiative-bri-and-turkeys-middle-corridor-win-win-cooperation" TargetMode="External"/><Relationship Id="rId20" Type="http://schemas.openxmlformats.org/officeDocument/2006/relationships/hyperlink" Target="https://www.loc.gov/item/2021687414/" TargetMode="External"/><Relationship Id="rId41" Type="http://schemas.openxmlformats.org/officeDocument/2006/relationships/hyperlink" Target="https://www.loc.gov/item/2021687414/" TargetMode="External"/><Relationship Id="rId54" Type="http://schemas.openxmlformats.org/officeDocument/2006/relationships/hyperlink" Target="https://iclg.com/cdr-essential-intelligence/1100-cdr-the-belt-and-road-initiative-2021/vietnam" TargetMode="External"/><Relationship Id="rId62" Type="http://schemas.openxmlformats.org/officeDocument/2006/relationships/hyperlink" Target="https://www.aei.org/china-global-investment-tracker/" TargetMode="External"/><Relationship Id="rId1" Type="http://schemas.openxmlformats.org/officeDocument/2006/relationships/hyperlink" Target="http://english.scio.gov.cn/beltandroad/2020-08/04/content_76345602.htm" TargetMode="External"/><Relationship Id="rId6" Type="http://schemas.openxmlformats.org/officeDocument/2006/relationships/hyperlink" Target="https://doi.org/10.1787/bus_fin_out-2018-6-en" TargetMode="External"/><Relationship Id="rId15" Type="http://schemas.openxmlformats.org/officeDocument/2006/relationships/hyperlink" Target="https://www.aei.org/china-global-investment-tracker/" TargetMode="External"/><Relationship Id="rId23" Type="http://schemas.openxmlformats.org/officeDocument/2006/relationships/hyperlink" Target="https://www.loc.gov/item/2021687414/" TargetMode="External"/><Relationship Id="rId28" Type="http://schemas.openxmlformats.org/officeDocument/2006/relationships/hyperlink" Target="https://www.loc.gov/item/2021687414/" TargetMode="External"/><Relationship Id="rId36" Type="http://schemas.openxmlformats.org/officeDocument/2006/relationships/hyperlink" Target="https://www.silkroadbriefing.com/news/2021/07/27/algeria-to-coordinate-national-development-plans-with-chinas-belt-and-road-initiative/" TargetMode="External"/><Relationship Id="rId49" Type="http://schemas.openxmlformats.org/officeDocument/2006/relationships/hyperlink" Target="https://asiatimes.com/2022/07/chinas-belt-and-road-staggers-and-stalls-in-indonesia/" TargetMode="External"/><Relationship Id="rId57" Type="http://schemas.openxmlformats.org/officeDocument/2006/relationships/hyperlink" Target="http://pk.china-embassy.gov.cn/eng/zbgx/201812/t20181230_1134724.htm" TargetMode="External"/><Relationship Id="rId10" Type="http://schemas.openxmlformats.org/officeDocument/2006/relationships/hyperlink" Target="http://www.sais-cari.org/publications" TargetMode="External"/><Relationship Id="rId31" Type="http://schemas.openxmlformats.org/officeDocument/2006/relationships/hyperlink" Target="https://country.eiu.com/article.aspx?articleid=1857968369" TargetMode="External"/><Relationship Id="rId44" Type="http://schemas.openxmlformats.org/officeDocument/2006/relationships/hyperlink" Target="https://lawgazette.com.sg/news/updates/eight-years-on-belt-road-legal-insurance/" TargetMode="External"/><Relationship Id="rId52" Type="http://schemas.openxmlformats.org/officeDocument/2006/relationships/hyperlink" Target="https://www.loc.gov/item/2021687414/" TargetMode="External"/><Relationship Id="rId60" Type="http://schemas.openxmlformats.org/officeDocument/2006/relationships/hyperlink" Target="https://global.chinadaily.com.cn/a/202110/11/WS6163e762a310cdd39bc6e219.html" TargetMode="External"/><Relationship Id="rId65" Type="http://schemas.openxmlformats.org/officeDocument/2006/relationships/hyperlink" Target="https://www.aei.org/china-global-investment-tracker/" TargetMode="External"/><Relationship Id="rId4" Type="http://schemas.openxmlformats.org/officeDocument/2006/relationships/hyperlink" Target="https://doi.org/10.1787/bus_fin_out-2018-6-en" TargetMode="External"/><Relationship Id="rId9" Type="http://schemas.openxmlformats.org/officeDocument/2006/relationships/hyperlink" Target="http://www.sais-cari.org/publications" TargetMode="External"/><Relationship Id="rId13" Type="http://schemas.openxmlformats.org/officeDocument/2006/relationships/hyperlink" Target="https://asiasociety.org/policy-institute/weaponizing-belt-and-road-initiative" TargetMode="External"/><Relationship Id="rId18" Type="http://schemas.openxmlformats.org/officeDocument/2006/relationships/hyperlink" Target="https://asiasociety.org/policy-institute/weaponizing-belt-and-road-initiative" TargetMode="External"/><Relationship Id="rId39" Type="http://schemas.openxmlformats.org/officeDocument/2006/relationships/hyperlink" Target="https://www.loc.gov/item/20216874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5296</Words>
  <Characters>30188</Characters>
  <Application>Microsoft Office Word</Application>
  <DocSecurity>0</DocSecurity>
  <Lines>251</Lines>
  <Paragraphs>70</Paragraphs>
  <ScaleCrop>false</ScaleCrop>
  <Company/>
  <LinksUpToDate>false</LinksUpToDate>
  <CharactersWithSpaces>35414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Kim</cp:lastModifiedBy>
  <cp:revision>2</cp:revision>
  <dcterms:created xsi:type="dcterms:W3CDTF">2026-01-07T15:45:00Z</dcterms:created>
  <dcterms:modified xsi:type="dcterms:W3CDTF">2026-01-07T15:46:00Z</dcterms:modified>
</cp:coreProperties>
</file>