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2B22" w14:textId="77777777" w:rsidR="00DF3F9D"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Contemporary Canadian Politics</w:t>
      </w:r>
    </w:p>
    <w:p w14:paraId="404295FC" w14:textId="77777777" w:rsidR="00DF3F9D" w:rsidRDefault="00000000">
      <w:pPr>
        <w:pStyle w:val="Title"/>
        <w:spacing w:line="240" w:lineRule="auto"/>
        <w:jc w:val="left"/>
        <w:rPr>
          <w:b w:val="0"/>
          <w:bCs w:val="0"/>
          <w:i/>
          <w:iCs/>
          <w:sz w:val="40"/>
          <w:szCs w:val="40"/>
        </w:rPr>
      </w:pPr>
      <w:r>
        <w:rPr>
          <w:b w:val="0"/>
          <w:bCs w:val="0"/>
        </w:rPr>
        <w:t xml:space="preserve">| </w:t>
      </w:r>
      <w:r>
        <w:rPr>
          <w:b w:val="0"/>
          <w:bCs w:val="0"/>
          <w:sz w:val="40"/>
          <w:szCs w:val="40"/>
        </w:rPr>
        <w:t>Western Alienation in Canada: A Policy Analysis</w:t>
      </w:r>
    </w:p>
    <w:p w14:paraId="5580CE32" w14:textId="77777777" w:rsidR="00DF3F9D" w:rsidRDefault="00000000">
      <w:pPr>
        <w:pStyle w:val="Subtitle"/>
        <w:spacing w:line="240" w:lineRule="auto"/>
        <w:jc w:val="left"/>
      </w:pPr>
      <w:r>
        <w:rPr>
          <w:rFonts w:ascii="Crimson Text" w:eastAsia="Crimson Text" w:hAnsi="Crimson Text" w:cs="Crimson Text"/>
          <w:sz w:val="28"/>
          <w:szCs w:val="28"/>
        </w:rPr>
        <w:t>Anika Darts</w:t>
      </w:r>
      <w:r>
        <w:rPr>
          <w:noProof/>
        </w:rPr>
        <mc:AlternateContent>
          <mc:Choice Requires="wpg">
            <w:drawing>
              <wp:anchor distT="0" distB="0" distL="114300" distR="114300" simplePos="0" relativeHeight="251658240" behindDoc="0" locked="0" layoutInCell="1" hidden="0" allowOverlap="1" wp14:anchorId="45BEF90F" wp14:editId="4A657F61">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14:paraId="49733259" w14:textId="77777777" w:rsidR="00DF3F9D" w:rsidRDefault="00000000">
      <w:pPr>
        <w:pStyle w:val="Subtitle"/>
        <w:spacing w:line="240" w:lineRule="auto"/>
        <w:jc w:val="left"/>
      </w:pPr>
      <w:bookmarkStart w:id="0" w:name="_s5b6hkpm2cvz" w:colFirst="0" w:colLast="0"/>
      <w:bookmarkEnd w:id="0"/>
      <w:r>
        <w:rPr>
          <w:rFonts w:ascii="Times New Roman" w:eastAsia="Times New Roman" w:hAnsi="Times New Roman" w:cs="Times New Roman"/>
          <w:b/>
          <w:bCs/>
          <w:i w:val="0"/>
          <w:iCs w:val="0"/>
          <w:sz w:val="22"/>
          <w:szCs w:val="22"/>
        </w:rPr>
        <w:t xml:space="preserve">Keywords: </w:t>
      </w:r>
      <w:r>
        <w:rPr>
          <w:rFonts w:ascii="Times New Roman" w:eastAsia="Times New Roman" w:hAnsi="Times New Roman" w:cs="Times New Roman"/>
          <w:color w:val="000000"/>
          <w:sz w:val="22"/>
          <w:szCs w:val="22"/>
        </w:rPr>
        <w:t>Western alienation, Canada, regionalism, Prairies, comparative political analysis</w:t>
      </w:r>
    </w:p>
    <w:p w14:paraId="635F6688" w14:textId="77777777" w:rsidR="00DF3F9D" w:rsidRDefault="00000000">
      <w:pPr>
        <w:pStyle w:val="Subtitle"/>
        <w:spacing w:after="0" w:line="360" w:lineRule="auto"/>
        <w:jc w:val="both"/>
        <w:rPr>
          <w:rFonts w:ascii="Times New Roman" w:eastAsia="Times New Roman" w:hAnsi="Times New Roman" w:cs="Times New Roman"/>
          <w:color w:val="000000"/>
          <w:sz w:val="22"/>
          <w:szCs w:val="22"/>
        </w:rPr>
      </w:pPr>
      <w:r>
        <w:rPr>
          <w:noProof/>
        </w:rPr>
        <w:drawing>
          <wp:anchor distT="114300" distB="114300" distL="114300" distR="114300" simplePos="0" relativeHeight="251659264" behindDoc="0" locked="0" layoutInCell="1" hidden="0" allowOverlap="1" wp14:anchorId="32D4784B" wp14:editId="1C1796BC">
            <wp:simplePos x="0" y="0"/>
            <wp:positionH relativeFrom="column">
              <wp:posOffset>57151</wp:posOffset>
            </wp:positionH>
            <wp:positionV relativeFrom="paragraph">
              <wp:posOffset>304800</wp:posOffset>
            </wp:positionV>
            <wp:extent cx="5824538" cy="4265727"/>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824538" cy="4265727"/>
                    </a:xfrm>
                    <a:prstGeom prst="rect">
                      <a:avLst/>
                    </a:prstGeom>
                    <a:ln/>
                  </pic:spPr>
                </pic:pic>
              </a:graphicData>
            </a:graphic>
          </wp:anchor>
        </w:drawing>
      </w:r>
    </w:p>
    <w:p w14:paraId="5DED6651" w14:textId="77777777" w:rsidR="00DF3F9D" w:rsidRDefault="00000000">
      <w:pPr>
        <w:pStyle w:val="Subtitle"/>
        <w:spacing w:after="0" w:line="360" w:lineRule="auto"/>
        <w:jc w:val="both"/>
        <w:rPr>
          <w:color w:val="000000"/>
          <w:sz w:val="21"/>
          <w:szCs w:val="21"/>
        </w:rPr>
      </w:pPr>
      <w:r>
        <w:rPr>
          <w:color w:val="000000"/>
          <w:sz w:val="21"/>
          <w:szCs w:val="21"/>
        </w:rPr>
        <w:br/>
      </w:r>
    </w:p>
    <w:p w14:paraId="777B1561" w14:textId="77777777" w:rsidR="00DF3F9D" w:rsidRDefault="00DF3F9D"/>
    <w:p w14:paraId="47F00FEA" w14:textId="77777777" w:rsidR="00DF3F9D" w:rsidRDefault="00DF3F9D"/>
    <w:p w14:paraId="5F9F7094" w14:textId="77777777" w:rsidR="00DF3F9D" w:rsidRDefault="00DF3F9D"/>
    <w:p w14:paraId="02AEBF2D" w14:textId="77777777" w:rsidR="00DF3F9D" w:rsidRDefault="00DF3F9D"/>
    <w:p w14:paraId="04E8D9EC" w14:textId="77777777" w:rsidR="00DF3F9D" w:rsidRDefault="00000000">
      <w:pPr>
        <w:pStyle w:val="Subtitle"/>
        <w:spacing w:after="0" w:line="360" w:lineRule="auto"/>
        <w:jc w:val="both"/>
        <w:rPr>
          <w:rFonts w:ascii="Crimson Text" w:eastAsia="Crimson Text" w:hAnsi="Crimson Text" w:cs="Crimson Text"/>
          <w:b/>
          <w:bCs/>
          <w:color w:val="000000"/>
          <w:sz w:val="21"/>
          <w:szCs w:val="21"/>
        </w:rPr>
      </w:pPr>
      <w:r>
        <w:rPr>
          <w:rFonts w:ascii="Crimson Text" w:eastAsia="Crimson Text" w:hAnsi="Crimson Text" w:cs="Crimson Text"/>
          <w:b/>
          <w:bCs/>
          <w:sz w:val="40"/>
          <w:szCs w:val="40"/>
        </w:rPr>
        <w:lastRenderedPageBreak/>
        <w:t>Historical Review: Western Alienation Throughout Canadian History</w:t>
      </w:r>
      <w:r>
        <w:rPr>
          <w:rFonts w:ascii="Crimson Text" w:eastAsia="Crimson Text" w:hAnsi="Crimson Text" w:cs="Crimson Text"/>
          <w:b/>
          <w:bCs/>
          <w:sz w:val="40"/>
          <w:szCs w:val="40"/>
        </w:rPr>
        <w:tab/>
      </w:r>
    </w:p>
    <w:p w14:paraId="73FCEB88" w14:textId="77777777" w:rsidR="00DF3F9D" w:rsidRDefault="00000000">
      <w:pPr>
        <w:pStyle w:val="Subtitle"/>
        <w:spacing w:after="0" w:line="480" w:lineRule="auto"/>
        <w:jc w:val="both"/>
        <w:rPr>
          <w:rFonts w:ascii="Times New Roman" w:eastAsia="Times New Roman" w:hAnsi="Times New Roman" w:cs="Times New Roman"/>
          <w:i w:val="0"/>
          <w:iCs w:val="0"/>
          <w:color w:val="000000"/>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The Western region of Canada is characterized by the mighty plains, the rugged Rocky Mountains, and the vastness of the beautiful, yet brutal wilderness. Informally considered to encompass Manitoba, Saskatchewan, Alberta, and British Columbia, these provinces have played a critical role in the development of the Canadian state, offering plentiful resources such as timber, minerals, oil and fertile agricultural land suitable for large-scale industrial farming. Canada, being the world’s second biggest country in terms of geographical land size, has had the advantages that come along with mass territorial acquisition, including resource extraction and plentiful room for agricultural activities. Paradoxically, this has also served to create a stark division between East and West, with many Westerners feeling as though their needs are not being considered by the far away Eastern elites in Ottawa. As stated by former Canadian Prime Minister William Lyon Mackenzie King in 1936: “If some countries have too much history, we have too much geography.”</w:t>
      </w:r>
    </w:p>
    <w:p w14:paraId="48E4A51B" w14:textId="77777777" w:rsidR="00DF3F9D" w:rsidRDefault="00000000">
      <w:pPr>
        <w:spacing w:after="0" w:line="48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Residents from Canada’s Western regions have long cited dissatisfaction with the current federal system, demonstrating sentiments of political dissolution and frustration with leaders who seem to dismiss their concerns time and time again. A rise in right-wing populist attitudes during the 2010s and into the 2020s has further ignited these concerns, creating a hostile dichotomy between the working-class people of Canada’s Western region and the perceived political elites in Ottawa (Budd, 2021). Western Canadians often perceive themselves as consistently battling Ottawa’s unfair demands, exploiting their people and resources for the benefit of politicians thousands of kilometres away. This has led to a culture of Western alienation wherein residents feel as their cultural, political, and economic concerns are continuously dismissed and largely </w:t>
      </w:r>
      <w:r>
        <w:rPr>
          <w:rFonts w:ascii="Times New Roman" w:eastAsia="Times New Roman" w:hAnsi="Times New Roman" w:cs="Times New Roman"/>
          <w:sz w:val="24"/>
          <w:szCs w:val="24"/>
        </w:rPr>
        <w:lastRenderedPageBreak/>
        <w:t>ignored. Nevertheless, this sentiment is not exclusive to Canada. The phenomenon of regional exploitation done by the nation’s capital is an unfortunately all too common story in modern geopolitics. Populism has further exacerbated this occurrence, creating a strong sentiment of regionalism in states where this has occurred.</w:t>
      </w:r>
    </w:p>
    <w:p w14:paraId="069ED3CE"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Canada has always been a country with diverse political beliefs. While the current political institutions tend to favour either centre-right or centre-left parties, a range of political identities have always characterized Canada’s liberal democracy. Despite this, there has been a significant rise in political division and polarization observed in Canada’s democracy throughout the last decade. Canadians are more politically divided than ever before (Public Policy Form &amp; Ling, 2023). The divide between rightists and leftist camps throughout the world has never been so apparent, with Canada being no exception to this current trend. Wealth disparity has led to further widespread political polarization throughout the globe (Micu, 2021). This division is only exacerbated by regional separation, with a staunch divide between rural and urban communities, fueled in part by a history of Western alienation, isolation, and geographical separation.</w:t>
      </w:r>
    </w:p>
    <w:p w14:paraId="163034E5" w14:textId="77777777" w:rsidR="00DF3F9D" w:rsidRDefault="00000000">
      <w:pPr>
        <w:spacing w:after="0" w:line="48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Indigenous government structures further characterize the country’s unique case of regionalism. Alberta is home to 43 unique First Nation communities as well as 8 Metis communities (Indigenous Services Canada, 2022). Saskatchewan has 70 distinct First Nation communities, with 130 different Metis communities (Indigenous Services Canada, 2021; University of Saskatchewan &amp; Préfontaine, 2018). Manitoba has 63 First Nation communities, with no specific Metis communities, although they make up a significant part of the province’s population, with the capital of Winnipeg being located on the traditional homeland of the Metis people, the Red River Settlement (Indigenous Services Canada, 2021). Overall, the Prairies is home to hundreds of thousands of Indigenous peoples, forming a significant population that must </w:t>
      </w:r>
      <w:r>
        <w:rPr>
          <w:rFonts w:ascii="Times New Roman" w:eastAsia="Times New Roman" w:hAnsi="Times New Roman" w:cs="Times New Roman"/>
          <w:sz w:val="24"/>
          <w:szCs w:val="24"/>
        </w:rPr>
        <w:lastRenderedPageBreak/>
        <w:t>be considered when analyzing the politics of the region. Indigenous voices seeking to participate in the Canadian political system have faced unique discrimination, making it critical that any serious solution consider their political agency alongside the rest of the non-Indigenous population.</w:t>
      </w:r>
    </w:p>
    <w:p w14:paraId="5269EB5D" w14:textId="77777777" w:rsidR="00DF3F9D" w:rsidRDefault="00000000">
      <w:pPr>
        <w:spacing w:after="0" w:line="48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has paved the way for an increasingly complicated geopolitical climate, introducing new ways to conceptualize and make sense of global phenomena. While regionalism was certainly an issue prior to the start of the new millennium, a new increasingly globalized world with emerging non-state actors has further complicated this issue. Regionalism in the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involved regional actors and institutions having, or attempting to gain, influence and power in their specific area as an alternative to a system of centralized control. However, as the trend of new regionalism is beginning to emerge, alternative means and strategies are now being commonly pursued in the political arena. New regionalism is multidimensional, with non-state actors collaborating with their state counterparts, creating a new rich tapestry of political mobilization amongst the electorate (Soderbaum &amp; Shaw, 2003).</w:t>
      </w:r>
    </w:p>
    <w:p w14:paraId="44773523"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Thanks to the current political climate, the Canadian federal government is facing a significant issue of institutional discontent, frustration, and even anger coming from its Western electorate. Now more than ever, Western Canadians feel ignored and rejected by their federal leadership. This trend is particularly concerning as Canada faces external threats of annexation and unfair tariff implementation by our American neighbours led by the Trump administration. At a time when Canada needs to stand united and strong against foreign powers to assert our sovereignty, Canada remains divided and fragmented with respect to the Western provinces and their dysfunctional relationship with Ottawa, continuing an unfortunate tradition of regional division within the Canadian state, creating a culture of dysfunction and tepid compromises.</w:t>
      </w:r>
    </w:p>
    <w:p w14:paraId="2C3E5E33" w14:textId="77777777" w:rsidR="00DF3F9D" w:rsidRDefault="00000000">
      <w:pPr>
        <w:spacing w:after="0"/>
      </w:pPr>
      <w:r>
        <w:t xml:space="preserve"> </w:t>
      </w:r>
      <w:r>
        <w:rPr>
          <w:rFonts w:ascii="Crimson Text" w:eastAsia="Crimson Text" w:hAnsi="Crimson Text" w:cs="Crimson Text"/>
          <w:b/>
          <w:bCs/>
          <w:i/>
          <w:iCs/>
          <w:color w:val="A0504F"/>
          <w:sz w:val="40"/>
          <w:szCs w:val="40"/>
        </w:rPr>
        <w:t>Review of Policy Options and Considerations</w:t>
      </w:r>
    </w:p>
    <w:p w14:paraId="6FB0A63D"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a longstanding tradition of Western provincial governments attempting to stand up against the federal government, Albertan premier Danielle Smith championed the </w:t>
      </w:r>
      <w:r>
        <w:rPr>
          <w:rFonts w:ascii="Times New Roman" w:eastAsia="Times New Roman" w:hAnsi="Times New Roman" w:cs="Times New Roman"/>
          <w:i/>
          <w:iCs/>
          <w:sz w:val="24"/>
          <w:szCs w:val="24"/>
        </w:rPr>
        <w:t>Alberta Sovereignty within a United Canada Act.</w:t>
      </w:r>
      <w:r>
        <w:rPr>
          <w:rFonts w:ascii="Times New Roman" w:eastAsia="Times New Roman" w:hAnsi="Times New Roman" w:cs="Times New Roman"/>
          <w:sz w:val="24"/>
          <w:szCs w:val="24"/>
        </w:rPr>
        <w:t xml:space="preserve"> Created to protect Albertan interests from a seemingly increasingly hostile federal government, the</w:t>
      </w:r>
      <w:r>
        <w:rPr>
          <w:rFonts w:ascii="Times New Roman" w:eastAsia="Times New Roman" w:hAnsi="Times New Roman" w:cs="Times New Roman"/>
          <w:i/>
          <w:iCs/>
          <w:sz w:val="24"/>
          <w:szCs w:val="24"/>
        </w:rPr>
        <w:t xml:space="preserve"> Alberta Sovereignty within a United Canada Act’s</w:t>
      </w:r>
      <w:r>
        <w:rPr>
          <w:rFonts w:ascii="Times New Roman" w:eastAsia="Times New Roman" w:hAnsi="Times New Roman" w:cs="Times New Roman"/>
          <w:sz w:val="24"/>
          <w:szCs w:val="24"/>
        </w:rPr>
        <w:t xml:space="preserve"> (2022) primary purpose is to protect the province from federal legislation or policy that is interpreted as unconstitutional or harmful to the province. Once the act is invoked, it would give authority to the Albertan provincial cabinet, allowing for provincial actors and institutions to not enforce a specific federal law or policy with provincial resources (Alberta Sovereignty Within a United Canada Act, 2022). Theoretically, this piece of legislation would allow for the provincial government to effectively veto pieces of federal legislation that is deemed to be anti-Alberta. Despite achieving royal assent in December of 2022, it has yet to be invoked, making it challenging to comprehend how effective it may be in a real life scenario, as well as the potential consequences that may arise from its usage.</w:t>
      </w:r>
    </w:p>
    <w:p w14:paraId="66E65896"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passing of the Alberta Sovereignty within a United Canada Act may have been a symbolic victory in defending Western interests against the unfair federal government, many have criticized the act for being superficial. Nigel Bankes, an Emeritus Professor of Law from the University of Calgary criticized the act as being “performative,” further stating that he does not expect to see its usage soon (2024). It is probable that this act would only be utilized following federal action that was explicitly anti-Alberta, of which has yet to occur. An invocation of the act would surely be perceived as hostile by Ottawa, likely leading to increased tensions in an already strained and historically difficult relationship. The act remains as a symbolic rejection of federal elitism, with little efficacy in terms of addressing the issue of Western alienation in a satisfactory </w:t>
      </w:r>
      <w:r>
        <w:rPr>
          <w:rFonts w:ascii="Times New Roman" w:eastAsia="Times New Roman" w:hAnsi="Times New Roman" w:cs="Times New Roman"/>
          <w:sz w:val="24"/>
          <w:szCs w:val="24"/>
        </w:rPr>
        <w:lastRenderedPageBreak/>
        <w:t>manner, leaving room for further populist sentiment, discontent, and disenfranchisement of the federal system to continue unchecked.</w:t>
      </w:r>
    </w:p>
    <w:p w14:paraId="2DE15805"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Canadian federal government itself has tried to meditate on this issue through the establishment of the Western Economic and Diversification, or WED, Canada. Created in 1987 by the Mulroney government as a response to years of frustration surrounding Western inclusion in Canada, it has worked for the last nearly 40 years to diversify the West’s economy while improving the standard of living for its residents (The Government of Canada, 2022). In 2021, the decision was made to split Western Economic Diversification Canada into two distinct departments, Pacific Economic Development Canada or PacifiCan in British Columbia and Prairie Economic Development Canada or PrairiesCan for the provinces of Alberta, Saskatchewan, and Manitoba.</w:t>
      </w:r>
    </w:p>
    <w:p w14:paraId="38FA9660"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well-meaning intentions on behalf of the federal government, there are glaringly apparent issues that plague the former Western Diversification Canada, now Prairies Economic Development Canada in attempting to rectify longstanding grievances. A significant problem is that Prairies Canada only addresses economic concerns and projects. While the economy plays a large part in the Prairie identity and does seek to address many issues tangentially related to Western alienation, it does not strike at the heart of the issue, that being the socio-political angle. Prairie Canada’s sole concern are economic issues in the region, leaving political, social, and cultural issues ignored and unaddressed. This makes the institution’s scope quite shallow when considered in the broader context of West alienation. Western alienation is largely a political issue, and Prairie Canada is symptomatic of that very same concern. The issue of federal overreach cannot be corrected through a federal department; these two represent contradictory goals. Prairie Canada’s very existence as a federal department is grounds for many Prairie residents to view it as yet another attempt of federal overreach with no genuine respect for provincial </w:t>
      </w:r>
      <w:r>
        <w:rPr>
          <w:rFonts w:ascii="Times New Roman" w:eastAsia="Times New Roman" w:hAnsi="Times New Roman" w:cs="Times New Roman"/>
          <w:sz w:val="24"/>
          <w:szCs w:val="24"/>
        </w:rPr>
        <w:lastRenderedPageBreak/>
        <w:t>autonomy. This makes it very easy for Prairie Canada to be scrutinized by skeptics, viewing it as just another institution of the white-collar elites that do not meaningfully care about the average Prairie resident. An effective solution must be one that addresses political, economic, and cultural concerns harmoniously.</w:t>
      </w:r>
    </w:p>
    <w:p w14:paraId="0067C38F"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side of the North American continent exists a similarly isolated region with a history and culture distinct from the country it is in, the Appalachia. Located in the Eastern United States, Appalachia exists in the central and southern sides of the Appalachian Mountain range, encompassing the entirety of or parts of the thirteen states of Alabama, Georgia, Kentucky, Maryland, Mississippi, New York, North Carolina, Ohio, Pennsylvania, South Carolina, Tennessee, Virginia, and West Virginia. In order to address similar problems concerning years of rural isolation, frustration with their federal government, and a prevailing sentiment that they have been rejected by the elites in Washington, the Appalachian states took it upon themselves to establish the Appalachian Regional Commission, or ARC, in 1965 following President Johnson’s signature. After years of lobbying the federal government for relief, the Appalachian region was set to take troubling matters into its own hands. In the decades since its founding, the ARC has worked to improve the socioeconomic conditions of the region to level the playing field and put Appalachia on par with the rest of the United States. The commission has and continues to invest in economic growth through the approval of large-scale infrastructure projects, the creation of new jobs, and improved access to vital amenities such as health care (2020).</w:t>
      </w:r>
    </w:p>
    <w:p w14:paraId="27C600E5"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Appalachian Regional Commission has been largely accepted as successful in improving the socioeconomic conditions of Appalachians. Projects that they have undertaken are directly responsible for improving the everyday lives of its residents. For example, in 1998, the ARC established the Appalachian Higher Education, or AHE, Network with the goal of </w:t>
      </w:r>
      <w:r>
        <w:rPr>
          <w:rFonts w:ascii="Times New Roman" w:eastAsia="Times New Roman" w:hAnsi="Times New Roman" w:cs="Times New Roman"/>
          <w:sz w:val="24"/>
          <w:szCs w:val="24"/>
        </w:rPr>
        <w:lastRenderedPageBreak/>
        <w:t>encouraging more of its high school graduates to attend postsecondary and further their education. The commission chose to create a program that would result in a more educated working population, inspired by the successful predecessor of the Ohio Appalachian Center for Higher Education (OACHE). The success of the original Ohio centre was quickly replicated as network centres opened in Alabama, Kentucky, Mississippi, North Carolina, Tennessee, Virginia, and West Virginia, all in an effort to increase postsecondary enrollment (2004). By the mid 2000s, these centres were proving to be shockingly effective, with post-secondary enrollment increasing by an average of 25-30 percentage points in a few short years (Schwartz, 2004).</w:t>
      </w:r>
    </w:p>
    <w:p w14:paraId="721D10A8"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projects that the commission has successfully undertaken include their flagship Appalachian Development Highway System, or ADHS, have also been widely regarded as positive, with the project ultimately serving to connect one of the country’s most isolated regions with the rest of the nation, consequently rewarding both native Appalachians and residents from around the continental United States with new market access. Jaworski and Kitchens (2019) have calculated that the removal of the highway system would result in devastating income losses of $53.7 billion, suggesting that the region would have been vastly worse off without the completion of such a significant piece of infrastructure, of which may have not been created without the necessary push from the ARC. Overall, the ARC has been mostly regarded by bureaucrats and academics as largely positive, ushering in policies and projects that have greatly improved the lives of Appalachians, thus lessening regional friction and feelings of abandonment in its electorate. The committee continues to advocate and work for Appalachian residents to ensure that their voices are heard and that their needs are met. </w:t>
      </w:r>
    </w:p>
    <w:p w14:paraId="6014DF7C"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like the Canadian Prairies, Appalachia is also home to a diverse group of Indigenous peoples who have called the region home for generations. This includes but is not limited to the </w:t>
      </w:r>
      <w:r>
        <w:rPr>
          <w:rFonts w:ascii="Times New Roman" w:eastAsia="Times New Roman" w:hAnsi="Times New Roman" w:cs="Times New Roman"/>
          <w:sz w:val="24"/>
          <w:szCs w:val="24"/>
        </w:rPr>
        <w:lastRenderedPageBreak/>
        <w:t>Cherokee, the Lenape, the Shawnee, and the Iroquois peoples who have stewarded Appalachia for thousands of years. Eurocentric colonial government structures have excluded Indigenous peoples from self-determination and self-government, leading to further complexities that must be addressed in the creation of new, experimental governance structures. The ARC acknowledges and partners with the region’s Indigenous peoples to promote reconciliation and the creation of a new positive relationship between the state and the region’s original peoples. A Canadian version would benefit from following this established approach.</w:t>
      </w:r>
    </w:p>
    <w:p w14:paraId="1BCE8BD0"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there are some unfortunate realities that the ARC was unable to address. As other parts of the country offered opportunities not found in Appalachia, many young graduates chose to take their talents elsewhere. Thus, a significant portion of Appalachian-born individuals fled their hometowns in pursuit of better economic opportunities in other parts of the country. Appalachian natives are consistently offered better jobs with higher paying salaries outside of the region (Vazzana &amp; Rudi-Polloshka, 2019). This phenomenon is better known as brain drain. It has consistently ensured that Appalachian talent for the most part does not stay in Appalachia, consequently creating a lower-skilled workforce. Appalachia simply does not have the same industries, job opportunities, and economic attractors that larger cities like New York, Chicago, or Los Angeles do. Paradoxically, this has meant that Appalachian industries have not had the resources and people they need to flourish, keeping the region economically weak, with poverty remaining a pressing concern for residents. As of 2022, Appalachia remains one of the poorest regions in the United States, with the average median household income only reaching 82% of the national average (Appalachia Regional Commission, 2024). While poverty rates have been declining since the 2010s, poor economic opportunities still characterize the region, making it a </w:t>
      </w:r>
      <w:r>
        <w:rPr>
          <w:rFonts w:ascii="Times New Roman" w:eastAsia="Times New Roman" w:hAnsi="Times New Roman" w:cs="Times New Roman"/>
          <w:sz w:val="24"/>
          <w:szCs w:val="24"/>
        </w:rPr>
        <w:lastRenderedPageBreak/>
        <w:t>serious concern for the region. The ARC is likely to continue to try to mitigate this issue, but as of 2025, it remains a principal concern for Appalachians.</w:t>
      </w:r>
    </w:p>
    <w:p w14:paraId="5DD67663"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note that both the Prairies and Appalachia are both regions home to significant diversity. The experiences of individuals living in rich cities such as Calgary and Edmonton will likely be vastly different from those living in more remote, rural areas. While individuals living in richer, more populated cities in the Prairies may have different experiences compared to those in isolated regions, the grievance of Western alienation remains a significant part of the political culture. Ashley and Alm (2016) have suggested that this experience of Western alienation is not exclusive to rural regions, rather the attitude they have towards the phenomenon, as well as related topics such as individualism, anti-tax attitudes, and natural resource economies differs between the rural and urban divide, suggesting that location plays a significant role in determining these frustrations. Residents in rich urban areas were more likely to be less concerned of Western alienation when compared to their rural counterparts. The case for Appalachia is very similar. Those living in more geographically isolated areas such as eastern Kentucky and the Virginias, areas that have historically depended on unskilled labour in the form of coal extraction and the industry’s decreasing importance are more likely to feel isolated and ignored by their federal government (Bowen et al., 2018). This suggests that in both regions, rural populations tend to have the most grievances concerning isolation and alienation.</w:t>
      </w:r>
    </w:p>
    <w:p w14:paraId="0788AD47"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consideration of adapting similar policies from the ARC to a Canadian context, it is critical that mitigating the issue of Western alienation in Canada must be done through a lens of provincial autonomy. Western sovereignty will be central in establishing a solution that pleases all parties involved, of which will be especially important for the provinces who continue to reject federal domineering. Provincial sovereignty must be recognized and upheld. The chosen solution </w:t>
      </w:r>
      <w:r>
        <w:rPr>
          <w:rFonts w:ascii="Times New Roman" w:eastAsia="Times New Roman" w:hAnsi="Times New Roman" w:cs="Times New Roman"/>
          <w:sz w:val="24"/>
          <w:szCs w:val="24"/>
        </w:rPr>
        <w:lastRenderedPageBreak/>
        <w:t>will have to balance the tricky dichotomy of both appeasing the Prairies and highlighting their sovereignty, while also ensuring a degree of federal control. The Prairie provinces must work together as partners with their federal counterparts, not as inferiors that are ultimately powerless to the demands of Ottawa.</w:t>
      </w:r>
    </w:p>
    <w:p w14:paraId="216C3331"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a chosen solution must also be sure that it can garner a significant degree of public support. Prairie residents must be excited and willing to share their often-silenced voices in creating meaningful, long-lasting change. Grassroots involvement is critical, the importance of involving the people of the Prairies in addressing Western alienation cannot be understated. A solution will be one that empowers those who have been long shunned by federal policy. It is likely that if the chosen policy does not explicitly seek to empower the average Prairie resident, it will be rejected by its people and ultimately prove to be shallow and ineffective. It is important to take populist sentiments into account when drafting a solution, residents will not accept or participate in a project that is too centered on the objectives and goals of the perceived elites. The Appalachian Regional Commission has seen such a high level of success due to its holistic approach, addressing political, economic, and social issues concurrently. The average person must feel as though their voice is valued and listened to in conversation for them to experience the transition from political dissolution to political empowerment.</w:t>
      </w:r>
    </w:p>
    <w:p w14:paraId="4EF4B3B2"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problem that the Canadian federal government must address, especially in the context of heightened global tensions and repeated threats to Canadian sovereignty. Through providing a comprehensive analysis of different policy decisions in similarly regionally divided states, I recommend that the federal government pursue the establishment of federal-provincial partnership and creation of a new Prairie-focused commission. While the work done by Prairie Economic Development Canada has been useful in providing more autonomy to the provinces of </w:t>
      </w:r>
      <w:r>
        <w:rPr>
          <w:rFonts w:ascii="Times New Roman" w:eastAsia="Times New Roman" w:hAnsi="Times New Roman" w:cs="Times New Roman"/>
          <w:sz w:val="24"/>
          <w:szCs w:val="24"/>
        </w:rPr>
        <w:lastRenderedPageBreak/>
        <w:t>Alberta, Saskatchewan, and Manitoba, it fails to address historical cultural grievances, choosing to focus its scope on solely economic concerns, leaving a large component of the phenomenon unaddressed and allowed to fester. Additionally, as a federal department, it is impossible to achieve separation or a distinct barrier from Ottawa, stressing the importance of establishing a new commission that is by Prairie residents and for Prairie residents, addressing the economic, political, and social divisions that have long characterized the region. Such an approach could help bridge the historical provincial-federal gap.</w:t>
      </w:r>
    </w:p>
    <w:p w14:paraId="1C9E85CA" w14:textId="77777777" w:rsidR="00DF3F9D" w:rsidRDefault="00DF3F9D">
      <w:pPr>
        <w:spacing w:after="0" w:line="480" w:lineRule="auto"/>
        <w:ind w:firstLine="720"/>
        <w:jc w:val="both"/>
        <w:rPr>
          <w:rFonts w:ascii="Times New Roman" w:eastAsia="Times New Roman" w:hAnsi="Times New Roman" w:cs="Times New Roman"/>
          <w:sz w:val="24"/>
          <w:szCs w:val="24"/>
        </w:rPr>
      </w:pPr>
    </w:p>
    <w:p w14:paraId="087F4CDC" w14:textId="77777777" w:rsidR="00DF3F9D" w:rsidRDefault="00000000">
      <w:pPr>
        <w:pStyle w:val="Subtitle"/>
        <w:spacing w:after="0" w:line="360" w:lineRule="auto"/>
        <w:jc w:val="both"/>
        <w:rPr>
          <w:rFonts w:ascii="Times New Roman" w:eastAsia="Times New Roman" w:hAnsi="Times New Roman" w:cs="Times New Roman"/>
        </w:rPr>
      </w:pPr>
      <w:bookmarkStart w:id="1" w:name="_pxq4xego277e" w:colFirst="0" w:colLast="0"/>
      <w:bookmarkEnd w:id="1"/>
      <w:r>
        <w:rPr>
          <w:rFonts w:ascii="Crimson Text" w:eastAsia="Crimson Text" w:hAnsi="Crimson Text" w:cs="Crimson Text"/>
          <w:b/>
          <w:bCs/>
          <w:sz w:val="40"/>
          <w:szCs w:val="40"/>
        </w:rPr>
        <w:t>Policy Options and Evaluation</w:t>
      </w:r>
    </w:p>
    <w:p w14:paraId="16B4496C"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There are two primary options that the federal government should consider in attempting to navigate Western alienation. The first option is perhaps the easiest in theory, continuing to stick with the status quo and not alter the government’s ongoing strategy to mitigate this issue. The federal government already has some initiatives, most notably the work being done by Prairies Canada that has proven to be at least marginally successful. Since the department’s break into two distinct new departments, it has given Prairies Canada more opportunity to address regional specific concerns, allocating resources and funds only to the Prairie region where the heart of the issue lies. This is proven through the department’s commitment to funding local entrepreneurs, supporting small businesses, manufacturing, and agricultural activities (The Government of Canada, 2021). Additionally, the department has done an admirable job of attempting to diversify the economies of the Prairie provinces away from oil in an era where fossil fuels and non-renewable energy sources are being slowly phased out by the Global North.</w:t>
      </w:r>
    </w:p>
    <w:p w14:paraId="1D71823D"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primary advantage of this option is that it would cost no added expenses to continue what is currently being done to address the issue. The creation and adaptation of new policy </w:t>
      </w:r>
      <w:r>
        <w:rPr>
          <w:rFonts w:ascii="Times New Roman" w:eastAsia="Times New Roman" w:hAnsi="Times New Roman" w:cs="Times New Roman"/>
          <w:sz w:val="24"/>
          <w:szCs w:val="24"/>
        </w:rPr>
        <w:lastRenderedPageBreak/>
        <w:t>recommendations would surely impact federal budgeting, even if funds currently allocated to Prairies Canada go to the creation of a new Western commission. Additionally, there would likely be a significant period of transition in the creation of a new federal-provincial commission, with previous Prairie Canada employees adapting to their new positions. Upholding the current status quo would also allow for valuable federal resources to be allocated to different departments that could potentially serve all of Canada, not just the Prairie region. This is likely to be more popular with much of the Canadian population located in metropolis hubs such as Vancouver, Toronto, and Montreal. This population is likely to be skeptical of initiatives solely targeted in three of the ten provinces.</w:t>
      </w:r>
    </w:p>
    <w:p w14:paraId="269E1502"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Nevertheless, it is apparent that the status quo is not enough. Western alienation continues to be a significant socio-political-economic concern, with no apparent end in sight. Arguably, Western alienation has existed as an issue in Canada since the establishment of the Prairie provinces. In 1878, Canada’s first Prime Minister John A. Macdonald made the controversial decision to enact his National Policy to protect the established industries in Central Canada, primarily Ontario and Quebec. This act imposed harsh tariffs on American equipment, forcing Westerns to purchase farming equipment and other machinery from the comparatively more expensive Central Canadian market. Despite this, Canadian grain was still exported at the competitive global price, making Western farmers pay more for lower returns. This piece of policy would mark a tradition of Western frustration, further influencing later movements like the establishment of the Progressive Party in 1920 (Russell, 2015). Later, this would evolve into other movements such as the United Farmers movement into the 1920s and the establishment of the right-wing populist Reform Party in 1987, with its catchy slogan “the West Wants In” (Macpherson, 2013; Harrison, 2006). It is apparent that the theme of Western alienation is </w:t>
      </w:r>
      <w:r>
        <w:rPr>
          <w:rFonts w:ascii="Times New Roman" w:eastAsia="Times New Roman" w:hAnsi="Times New Roman" w:cs="Times New Roman"/>
          <w:sz w:val="24"/>
          <w:szCs w:val="24"/>
        </w:rPr>
        <w:lastRenderedPageBreak/>
        <w:t>repeatedly raised in Canadian politics, making it unlikely to go away without new, meaningful initiatives and policy changes.</w:t>
      </w:r>
    </w:p>
    <w:p w14:paraId="1998C612"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establishment of a new Western commission could usher in a new chapter of cooperation and partnership with the Prairie provinces and the Canadian federal government. In the context of an increasingly unstable geopolitical environment, ensuring that the country is strongly united should certainly be of concern for the federal government. Following a procedural policy design, policy actors could create a significant cultural shift, influencing larger public sentiment (Howlett &amp; Mukherjee, 2018). Creating a commission inspired by the partnership and work accomplished by the ARC could have the potential to mend a historically fraught relationship between the Prairies and Ottawa. This commission would be a federal-provincial collaboration, allowing for the federal government to still have some say in its activities, without becoming domineering and potentially reigniting political frustrations. Prairie Economic Development Canada would be dismantled, with its budget and resources going towards this new commission. As inspired by the ARC, the federal government could elect a federal representative, granting the ability for the federal government to voice their concerns. Ottawa would still provide funding alongside the Prairie provinces, allowing for a larger pool of funds to accomplish projects for the region. The Canadian government would be able to participate and contribute to the commission, while still recognizing the autonomy of the provinces involved. This arrangement would likely be quite popular with Prairie residents, as it allows for them to take a leadership position, with the federal government taking a back seat, secondary role. Following the example created by the ARC, this proposed solution could radically alter the West’s dysfunctional relationship with the Federal government.</w:t>
      </w:r>
    </w:p>
    <w:p w14:paraId="14F359F0"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disadvantage of this option is that it would likely be challenging to transition from Prairies Economic Development Canada to a new regional commission. Those currently working for Prairies Canada would have to decide if they would like to join the new federal-provincial commission or continue as a federal public servant in a different federal department. The creation of an entire commission would certainly come with some hiccups as the commission attempts to establish itself, with the first few years of its operation likely being disorderly until it finds its footing. Prairie residents may also be hesitant to support a project that diverts provincial funding to a new commission. Additionally, in an era where austerity politics is ever-frequent, taxpayers may be less eager to support a new, and surely expensive provincial project.</w:t>
      </w:r>
    </w:p>
    <w:p w14:paraId="56CE04E8"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there is always the risk that Prairie residents will see this as yet another attempt of federal domineering, leading to further, not reduced, sentiments of Western alienation amongst the population. While this is an important concern that should be seriously considered in the adoption of a joint federal-provincial commission, I believe that it is unlikely to be realized. The commission, while being a federal-provincial partnership, will be primarily focused on provincial control. This will be done through the election of provincial leadership roles, with the federal government taking a backseat, supervisorial role. Although Ottawa will still have a degree of participation in the activities of the commission, they will not have the final say in decision-making that they currently do at Prairies Canada, ensuring that the provinces take a leadership role in decisions that directly impact them. This approach of decentralized control will allow for the Prairies to be actively involved in regional affairs while also ensuring that the federal government will be there for support and funding, empowering the traditionally disenfranchised voices of the average Prairie resident. A new commission must be by Prairie residents, for Prairie residents. Thus, it is likely that Prairie residents will recognize the autonomy of the commission as an </w:t>
      </w:r>
      <w:r>
        <w:rPr>
          <w:rFonts w:ascii="Times New Roman" w:eastAsia="Times New Roman" w:hAnsi="Times New Roman" w:cs="Times New Roman"/>
          <w:sz w:val="24"/>
          <w:szCs w:val="24"/>
        </w:rPr>
        <w:lastRenderedPageBreak/>
        <w:t>organization focused on economic development, mending political wounds, and addressing historical injustices for a more united and stronger Canada.</w:t>
      </w:r>
    </w:p>
    <w:p w14:paraId="389F2561" w14:textId="77777777" w:rsidR="00DF3F9D"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the risk of the project turning into another source of Western grievances is unlikely if it is operated in a manner like the ARC. The ARC has largely been received kindly amongst its residents, with governors from its 13 states quoting its success in transitioning the region from a troubled area to an up-and-coming new economy within the broader context of the United States (Appalachian Regional Commission, 2021). Appalachia would be far worse off without the creation of the ARC, suggesting that such a model may have similarly positive effects for the Canadian Prairies. If the new Prairie commission is able to harness the public support received by the ARC, it will aid in combatting] Western alienation, not contribute to it. While the new commission is likely to experience a period of unitability in its infancy, this will almost certainly be remedied within a few years of operation once the commission has well established its identity and role within the provinces it operates in.</w:t>
      </w:r>
    </w:p>
    <w:p w14:paraId="4C69BFB2" w14:textId="77777777" w:rsidR="00DF3F9D" w:rsidRDefault="00DF3F9D">
      <w:pPr>
        <w:spacing w:after="0" w:line="480" w:lineRule="auto"/>
        <w:ind w:firstLine="720"/>
        <w:jc w:val="both"/>
        <w:rPr>
          <w:rFonts w:ascii="Times New Roman" w:eastAsia="Times New Roman" w:hAnsi="Times New Roman" w:cs="Times New Roman"/>
          <w:sz w:val="24"/>
          <w:szCs w:val="24"/>
        </w:rPr>
      </w:pPr>
    </w:p>
    <w:p w14:paraId="0FEBF81E" w14:textId="77777777" w:rsidR="00DF3F9D" w:rsidRDefault="00000000">
      <w:pPr>
        <w:pStyle w:val="Subtitle"/>
        <w:spacing w:after="0" w:line="360" w:lineRule="auto"/>
        <w:jc w:val="both"/>
        <w:rPr>
          <w:rFonts w:ascii="Crimson Text" w:eastAsia="Crimson Text" w:hAnsi="Crimson Text" w:cs="Crimson Text"/>
          <w:i w:val="0"/>
          <w:iCs w:val="0"/>
          <w:sz w:val="40"/>
          <w:szCs w:val="40"/>
        </w:rPr>
      </w:pPr>
      <w:bookmarkStart w:id="2" w:name="_poa6mlb5uzmy" w:colFirst="0" w:colLast="0"/>
      <w:bookmarkEnd w:id="2"/>
      <w:r>
        <w:rPr>
          <w:rFonts w:ascii="Crimson Text" w:eastAsia="Crimson Text" w:hAnsi="Crimson Text" w:cs="Crimson Text"/>
          <w:b/>
          <w:bCs/>
          <w:sz w:val="40"/>
          <w:szCs w:val="40"/>
        </w:rPr>
        <w:t>Final Policy Recommendation</w:t>
      </w:r>
    </w:p>
    <w:p w14:paraId="6A9A5250"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considering the potential risks and rewards that each solution offers, I recommend that the federal government ought to pursue the establishment of a new federal-provincial Prairie commission. This commission will empower Prairie residents to have a say in the development of their provinces, while still allowing for collaboration with Ottawa. Prairie residents are tired of being ignored, dismissed, and perceived as lesser than more populated provinces such as Ontario and Quebec. A new federal-provincial commission would allow for dialogue, collaboration, and partnership, fostering a better and stronger relationship between the federal and provincial </w:t>
      </w:r>
      <w:r>
        <w:rPr>
          <w:rFonts w:ascii="Times New Roman" w:eastAsia="Times New Roman" w:hAnsi="Times New Roman" w:cs="Times New Roman"/>
          <w:sz w:val="24"/>
          <w:szCs w:val="24"/>
        </w:rPr>
        <w:lastRenderedPageBreak/>
        <w:t>government of the Prairie region. Such a project will likely attract great public support if it is executed in a manner that is inclusive of the goals and initiatives put forth by the Prairie provinces.</w:t>
      </w:r>
    </w:p>
    <w:p w14:paraId="3D54C8D7" w14:textId="77777777" w:rsidR="00DF3F9D"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establishment of this new commission matters to Prairie residents, but it will also empower all of Canada. While Western alienation is an issue that existed throughout the Canadian experiment, now more than ever under the context of American threats of annexation, Canada needs to reinforce and restate its sovereignty as an autonomous, strong nation united under a common state. Nationalism must be harnessed as a tool to achieve amalgamation in a country where division has unfortunately contributed too much to its history. A united country benefits all of Canada and Canadians alike, not just the Prairie regions where this new commission would be operating, highlighting significant national appeal. A Prairie-federal commission has the potential to reshape regionalism in Canada as it currently exists, settling longstanding historical discontent and consequently creating a united, stronger Canada.</w:t>
      </w:r>
    </w:p>
    <w:p w14:paraId="78A9AAA8" w14:textId="77777777" w:rsidR="00DF3F9D" w:rsidRDefault="00DF3F9D">
      <w:pPr>
        <w:spacing w:after="0" w:line="480" w:lineRule="auto"/>
        <w:rPr>
          <w:rFonts w:ascii="Times New Roman" w:eastAsia="Times New Roman" w:hAnsi="Times New Roman" w:cs="Times New Roman"/>
          <w:sz w:val="18"/>
          <w:szCs w:val="18"/>
        </w:rPr>
      </w:pPr>
    </w:p>
    <w:p w14:paraId="2004E4F8" w14:textId="77777777" w:rsidR="00DF3F9D" w:rsidRDefault="00DF3F9D"/>
    <w:p w14:paraId="76D0D42F" w14:textId="77777777" w:rsidR="00DF3F9D" w:rsidRDefault="00DF3F9D">
      <w:pPr>
        <w:ind w:firstLine="720"/>
        <w:rPr>
          <w:rFonts w:ascii="Times New Roman" w:eastAsia="Times New Roman" w:hAnsi="Times New Roman" w:cs="Times New Roman"/>
          <w:sz w:val="18"/>
          <w:szCs w:val="18"/>
        </w:rPr>
      </w:pPr>
    </w:p>
    <w:p w14:paraId="446903F6" w14:textId="77777777" w:rsidR="00DF3F9D" w:rsidRDefault="00DF3F9D"/>
    <w:p w14:paraId="0BC9DBFF" w14:textId="77777777" w:rsidR="00DF3F9D" w:rsidRDefault="00DF3F9D">
      <w:pPr>
        <w:spacing w:after="0" w:line="480" w:lineRule="auto"/>
        <w:ind w:firstLine="720"/>
        <w:jc w:val="both"/>
        <w:rPr>
          <w:rFonts w:ascii="Times New Roman" w:eastAsia="Times New Roman" w:hAnsi="Times New Roman" w:cs="Times New Roman"/>
          <w:sz w:val="24"/>
          <w:szCs w:val="24"/>
        </w:rPr>
      </w:pPr>
    </w:p>
    <w:p w14:paraId="5A098121" w14:textId="77777777" w:rsidR="00DF3F9D" w:rsidRDefault="00DF3F9D">
      <w:pPr>
        <w:spacing w:after="0"/>
        <w:ind w:firstLine="720"/>
        <w:jc w:val="both"/>
        <w:rPr>
          <w:rFonts w:ascii="Times New Roman" w:eastAsia="Times New Roman" w:hAnsi="Times New Roman" w:cs="Times New Roman"/>
          <w:sz w:val="18"/>
          <w:szCs w:val="18"/>
        </w:rPr>
      </w:pPr>
    </w:p>
    <w:p w14:paraId="39ABB15F" w14:textId="77777777" w:rsidR="00DF3F9D" w:rsidRDefault="00DF3F9D">
      <w:pPr>
        <w:spacing w:after="0"/>
        <w:ind w:firstLine="720"/>
        <w:jc w:val="both"/>
        <w:rPr>
          <w:rFonts w:ascii="Times New Roman" w:eastAsia="Times New Roman" w:hAnsi="Times New Roman" w:cs="Times New Roman"/>
          <w:sz w:val="18"/>
          <w:szCs w:val="18"/>
        </w:rPr>
      </w:pPr>
    </w:p>
    <w:p w14:paraId="0AC04FF3" w14:textId="77777777" w:rsidR="00DF3F9D" w:rsidRDefault="00DF3F9D">
      <w:pPr>
        <w:pStyle w:val="Subtitle"/>
        <w:spacing w:line="480" w:lineRule="auto"/>
        <w:jc w:val="both"/>
        <w:rPr>
          <w:rFonts w:ascii="Times New Roman" w:eastAsia="Times New Roman" w:hAnsi="Times New Roman" w:cs="Times New Roman"/>
        </w:rPr>
      </w:pPr>
    </w:p>
    <w:p w14:paraId="0EC7C6DE" w14:textId="77777777" w:rsidR="00DF3F9D" w:rsidRDefault="00DF3F9D"/>
    <w:p w14:paraId="2124DEDC" w14:textId="77777777" w:rsidR="00DF3F9D" w:rsidRDefault="00DF3F9D">
      <w:pPr>
        <w:rPr>
          <w:rFonts w:ascii="Times New Roman" w:eastAsia="Times New Roman" w:hAnsi="Times New Roman" w:cs="Times New Roman"/>
          <w:sz w:val="24"/>
          <w:szCs w:val="24"/>
        </w:rPr>
      </w:pPr>
    </w:p>
    <w:p w14:paraId="1E8657D8" w14:textId="77777777" w:rsidR="00DF3F9D" w:rsidRDefault="00DF3F9D">
      <w:pPr>
        <w:rPr>
          <w:rFonts w:ascii="Times New Roman" w:eastAsia="Times New Roman" w:hAnsi="Times New Roman" w:cs="Times New Roman"/>
          <w:sz w:val="24"/>
          <w:szCs w:val="24"/>
        </w:rPr>
      </w:pPr>
    </w:p>
    <w:p w14:paraId="4435D16D" w14:textId="77777777" w:rsidR="00534D93" w:rsidRDefault="00534D93">
      <w:pPr>
        <w:rPr>
          <w:rFonts w:ascii="Times New Roman" w:eastAsia="Times New Roman" w:hAnsi="Times New Roman" w:cs="Times New Roman"/>
          <w:sz w:val="24"/>
          <w:szCs w:val="24"/>
        </w:rPr>
      </w:pPr>
    </w:p>
    <w:p w14:paraId="22E4BC9B" w14:textId="77777777" w:rsidR="00DF3F9D" w:rsidRDefault="00000000">
      <w:pPr>
        <w:pStyle w:val="Heading3"/>
        <w:jc w:val="center"/>
        <w:rPr>
          <w:color w:val="7A0808"/>
        </w:rPr>
      </w:pPr>
      <w:r>
        <w:rPr>
          <w:color w:val="7A0808"/>
        </w:rPr>
        <w:lastRenderedPageBreak/>
        <w:t>REFERENCES</w:t>
      </w:r>
    </w:p>
    <w:p w14:paraId="3C24568F"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Alberta Sovereignty Within a United Canada Act, Statutes of Alberta, c. S-7.5 (2022). Retrieved from the Albertan Government: https://www.qp.alberta.ca/documents/Acts/A35P5.pdf</w:t>
      </w:r>
    </w:p>
    <w:p w14:paraId="59197407"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Appalachian Regional Commission. (2020). </w:t>
      </w:r>
      <w:r>
        <w:rPr>
          <w:rFonts w:ascii="Times New Roman" w:eastAsia="Times New Roman" w:hAnsi="Times New Roman" w:cs="Times New Roman"/>
          <w:i/>
          <w:iCs/>
          <w:sz w:val="24"/>
          <w:szCs w:val="24"/>
        </w:rPr>
        <w:t>About the Appalachian Regional Commission</w:t>
      </w:r>
      <w:r>
        <w:rPr>
          <w:rFonts w:ascii="Times New Roman" w:eastAsia="Times New Roman" w:hAnsi="Times New Roman" w:cs="Times New Roman"/>
          <w:sz w:val="24"/>
          <w:szCs w:val="24"/>
        </w:rPr>
        <w:t>. https://www.arc.gov/about-the-appalachian-regional-commission/</w:t>
      </w:r>
    </w:p>
    <w:p w14:paraId="408526B5"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Appalachian Regional Comission. (2021). </w:t>
      </w:r>
      <w:r>
        <w:rPr>
          <w:rFonts w:ascii="Times New Roman" w:eastAsia="Times New Roman" w:hAnsi="Times New Roman" w:cs="Times New Roman"/>
          <w:i/>
          <w:iCs/>
          <w:sz w:val="24"/>
          <w:szCs w:val="24"/>
        </w:rPr>
        <w:t>Collective voices for Appalachia</w:t>
      </w:r>
      <w:r>
        <w:rPr>
          <w:rFonts w:ascii="Times New Roman" w:eastAsia="Times New Roman" w:hAnsi="Times New Roman" w:cs="Times New Roman"/>
          <w:sz w:val="24"/>
          <w:szCs w:val="24"/>
        </w:rPr>
        <w:t>. https://www.arc.gov/wp-content/uploads/2021/10/2021-Op-Ed-Exchange.pdf</w:t>
      </w:r>
    </w:p>
    <w:p w14:paraId="4F2AB263"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Appalachia Regional Commission. (2024). </w:t>
      </w:r>
      <w:r>
        <w:rPr>
          <w:rFonts w:ascii="Times New Roman" w:eastAsia="Times New Roman" w:hAnsi="Times New Roman" w:cs="Times New Roman"/>
          <w:i/>
          <w:iCs/>
          <w:sz w:val="24"/>
          <w:szCs w:val="24"/>
        </w:rPr>
        <w:t>Income and poverty in Appalachia</w:t>
      </w:r>
      <w:r>
        <w:rPr>
          <w:rFonts w:ascii="Times New Roman" w:eastAsia="Times New Roman" w:hAnsi="Times New Roman" w:cs="Times New Roman"/>
          <w:sz w:val="24"/>
          <w:szCs w:val="24"/>
        </w:rPr>
        <w:t>. https://www.arc.gov/about-the-appalachian-region/the-chartbook/income-and-poverty-in-appalachia/</w:t>
      </w:r>
    </w:p>
    <w:p w14:paraId="340A687E"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Bankes, N. (2024). Alberta’s “pointless”, “performative” Sovereignty Act move won’t see court anytime soon: Expert (J. MacPherson, Interviewer) [Interview]. In </w:t>
      </w:r>
      <w:r>
        <w:rPr>
          <w:rFonts w:ascii="Times New Roman" w:eastAsia="Times New Roman" w:hAnsi="Times New Roman" w:cs="Times New Roman"/>
          <w:i/>
          <w:iCs/>
          <w:sz w:val="24"/>
          <w:szCs w:val="24"/>
        </w:rPr>
        <w:t>The Energy Mix</w:t>
      </w:r>
      <w:r>
        <w:rPr>
          <w:rFonts w:ascii="Times New Roman" w:eastAsia="Times New Roman" w:hAnsi="Times New Roman" w:cs="Times New Roman"/>
          <w:sz w:val="24"/>
          <w:szCs w:val="24"/>
        </w:rPr>
        <w:t>. https://www.theenergymix.com/albertas-pointless-performative-sovereignty-act-move-wont-see-court-anytime-soon-expert/</w:t>
      </w:r>
    </w:p>
    <w:p w14:paraId="0E576C2A"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Bowen, E., Deskins, J., Lego, B., &amp; Appalachia Regional Commission. (2018). </w:t>
      </w:r>
      <w:r>
        <w:rPr>
          <w:rFonts w:ascii="Times New Roman" w:eastAsia="Times New Roman" w:hAnsi="Times New Roman" w:cs="Times New Roman"/>
          <w:i/>
          <w:iCs/>
          <w:sz w:val="24"/>
          <w:szCs w:val="24"/>
        </w:rPr>
        <w:t>An overview of the coal economy in Appalachia</w:t>
      </w:r>
      <w:r>
        <w:rPr>
          <w:rFonts w:ascii="Times New Roman" w:eastAsia="Times New Roman" w:hAnsi="Times New Roman" w:cs="Times New Roman"/>
          <w:sz w:val="24"/>
          <w:szCs w:val="24"/>
        </w:rPr>
        <w:t>. https://www.arc.gov/wp-content/uploads/2021/04/Coal-and-the-Economy-in-Appalachia_Q4_2020-Update.pdf</w:t>
      </w:r>
    </w:p>
    <w:p w14:paraId="4ADD3830"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Budd, B. (2021). Maple-glazed populism: Political opportunity structures and right-wing populist ideology in Canada. </w:t>
      </w:r>
      <w:r>
        <w:rPr>
          <w:rFonts w:ascii="Times New Roman" w:eastAsia="Times New Roman" w:hAnsi="Times New Roman" w:cs="Times New Roman"/>
          <w:i/>
          <w:iCs/>
          <w:sz w:val="24"/>
          <w:szCs w:val="24"/>
        </w:rPr>
        <w:t>Journal of Canadian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55</w:t>
      </w:r>
      <w:r>
        <w:rPr>
          <w:rFonts w:ascii="Times New Roman" w:eastAsia="Times New Roman" w:hAnsi="Times New Roman" w:cs="Times New Roman"/>
          <w:sz w:val="24"/>
          <w:szCs w:val="24"/>
        </w:rPr>
        <w:t>(1), 152–176. https://doi.org/10.3138/jcs.2019-0046</w:t>
      </w:r>
    </w:p>
    <w:p w14:paraId="23C1545E"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of Canada. (2022). </w:t>
      </w:r>
      <w:r>
        <w:rPr>
          <w:rFonts w:ascii="Times New Roman" w:eastAsia="Times New Roman" w:hAnsi="Times New Roman" w:cs="Times New Roman"/>
          <w:i/>
          <w:iCs/>
          <w:sz w:val="24"/>
          <w:szCs w:val="24"/>
        </w:rPr>
        <w:t>Western economic diversification Canada</w:t>
      </w:r>
      <w:r>
        <w:rPr>
          <w:rFonts w:ascii="Times New Roman" w:eastAsia="Times New Roman" w:hAnsi="Times New Roman" w:cs="Times New Roman"/>
          <w:sz w:val="24"/>
          <w:szCs w:val="24"/>
        </w:rPr>
        <w:t>. https://www.wd-deo.gc.ca/eng/home.asp</w:t>
      </w:r>
    </w:p>
    <w:p w14:paraId="4ACE6633"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of Canada, P. E. D. (2021). </w:t>
      </w:r>
      <w:r>
        <w:rPr>
          <w:rFonts w:ascii="Times New Roman" w:eastAsia="Times New Roman" w:hAnsi="Times New Roman" w:cs="Times New Roman"/>
          <w:i/>
          <w:iCs/>
          <w:sz w:val="24"/>
          <w:szCs w:val="24"/>
        </w:rPr>
        <w:t>Prairies economic development Canada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https://www.canada.ca/en/prairies-economic-development.html</w:t>
      </w:r>
    </w:p>
    <w:p w14:paraId="6B339A60"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Harrison, T. W. (2006). </w:t>
      </w:r>
      <w:r>
        <w:rPr>
          <w:rFonts w:ascii="Times New Roman" w:eastAsia="Times New Roman" w:hAnsi="Times New Roman" w:cs="Times New Roman"/>
          <w:i/>
          <w:iCs/>
          <w:sz w:val="24"/>
          <w:szCs w:val="24"/>
        </w:rPr>
        <w:t>Reform Party of Canada | The Canadian Encyclopedia</w:t>
      </w:r>
      <w:r>
        <w:rPr>
          <w:rFonts w:ascii="Times New Roman" w:eastAsia="Times New Roman" w:hAnsi="Times New Roman" w:cs="Times New Roman"/>
          <w:sz w:val="24"/>
          <w:szCs w:val="24"/>
        </w:rPr>
        <w:t>. https://www.thecanadianencyclopedia.ca/en/article/reform-party-of-canada</w:t>
      </w:r>
    </w:p>
    <w:p w14:paraId="35B64BA3"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Howlett, M., &amp; Mukherjee, I. (2018). </w:t>
      </w:r>
      <w:r>
        <w:rPr>
          <w:rFonts w:ascii="Times New Roman" w:eastAsia="Times New Roman" w:hAnsi="Times New Roman" w:cs="Times New Roman"/>
          <w:i/>
          <w:iCs/>
          <w:sz w:val="24"/>
          <w:szCs w:val="24"/>
        </w:rPr>
        <w:t>Routledge Handbook of Policy Design</w:t>
      </w:r>
      <w:r>
        <w:rPr>
          <w:rFonts w:ascii="Times New Roman" w:eastAsia="Times New Roman" w:hAnsi="Times New Roman" w:cs="Times New Roman"/>
          <w:sz w:val="24"/>
          <w:szCs w:val="24"/>
        </w:rPr>
        <w:t>. Routledge.</w:t>
      </w:r>
    </w:p>
    <w:p w14:paraId="2D80824F"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Indigenous Services Canada. (2021). </w:t>
      </w:r>
      <w:r>
        <w:rPr>
          <w:rFonts w:ascii="Times New Roman" w:eastAsia="Times New Roman" w:hAnsi="Times New Roman" w:cs="Times New Roman"/>
          <w:i/>
          <w:iCs/>
          <w:sz w:val="24"/>
          <w:szCs w:val="24"/>
        </w:rPr>
        <w:t>First Nations in Saskatchewan</w:t>
      </w:r>
      <w:r>
        <w:rPr>
          <w:rFonts w:ascii="Times New Roman" w:eastAsia="Times New Roman" w:hAnsi="Times New Roman" w:cs="Times New Roman"/>
          <w:sz w:val="24"/>
          <w:szCs w:val="24"/>
        </w:rPr>
        <w:t>. https://www.sac-isc.gc.ca/eng/1601920834259/1601920861675</w:t>
      </w:r>
    </w:p>
    <w:p w14:paraId="3613DF3A"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Indigenous Services Canada. (2022). </w:t>
      </w:r>
      <w:r>
        <w:rPr>
          <w:rFonts w:ascii="Times New Roman" w:eastAsia="Times New Roman" w:hAnsi="Times New Roman" w:cs="Times New Roman"/>
          <w:i/>
          <w:iCs/>
          <w:sz w:val="24"/>
          <w:szCs w:val="24"/>
        </w:rPr>
        <w:t>Indigenous peoples in Alberta</w:t>
      </w:r>
      <w:r>
        <w:rPr>
          <w:rFonts w:ascii="Times New Roman" w:eastAsia="Times New Roman" w:hAnsi="Times New Roman" w:cs="Times New Roman"/>
          <w:sz w:val="24"/>
          <w:szCs w:val="24"/>
        </w:rPr>
        <w:t>. https://www.sac-isc.gc.ca/eng/1647614714525/1647614742912</w:t>
      </w:r>
    </w:p>
    <w:p w14:paraId="33677555"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Indigenous Services Canada. (2021). </w:t>
      </w:r>
      <w:r>
        <w:rPr>
          <w:rFonts w:ascii="Times New Roman" w:eastAsia="Times New Roman" w:hAnsi="Times New Roman" w:cs="Times New Roman"/>
          <w:i/>
          <w:iCs/>
          <w:sz w:val="24"/>
          <w:szCs w:val="24"/>
        </w:rPr>
        <w:t>Indigenous peoples in Manitoba</w:t>
      </w:r>
      <w:r>
        <w:rPr>
          <w:rFonts w:ascii="Times New Roman" w:eastAsia="Times New Roman" w:hAnsi="Times New Roman" w:cs="Times New Roman"/>
          <w:sz w:val="24"/>
          <w:szCs w:val="24"/>
        </w:rPr>
        <w:t>. https://www.sac-isc.gc.ca/eng/1626886719453/1626886859809</w:t>
      </w:r>
    </w:p>
    <w:p w14:paraId="230D1FBD"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Jaworski, T., &amp; Kitchens, C. T. (2019). National policy for regional development: Historical evidence from Appalachian highways. </w:t>
      </w:r>
      <w:r>
        <w:rPr>
          <w:rFonts w:ascii="Times New Roman" w:eastAsia="Times New Roman" w:hAnsi="Times New Roman" w:cs="Times New Roman"/>
          <w:i/>
          <w:iCs/>
          <w:sz w:val="24"/>
          <w:szCs w:val="24"/>
        </w:rPr>
        <w:t>The Review of Economics and Statistics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101</w:t>
      </w:r>
      <w:r>
        <w:rPr>
          <w:rFonts w:ascii="Times New Roman" w:eastAsia="Times New Roman" w:hAnsi="Times New Roman" w:cs="Times New Roman"/>
          <w:sz w:val="24"/>
          <w:szCs w:val="24"/>
        </w:rPr>
        <w:t>(5), 777–790. https://doi.org/10.1162/rest_a_00808</w:t>
      </w:r>
    </w:p>
    <w:p w14:paraId="498751AD"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Kwak, L. J. (2020). Problematizing Canadian exceptionalism: A study of right-populism, white nationalism and Conservative political parties. </w:t>
      </w:r>
      <w:r>
        <w:rPr>
          <w:rFonts w:ascii="Times New Roman" w:eastAsia="Times New Roman" w:hAnsi="Times New Roman" w:cs="Times New Roman"/>
          <w:i/>
          <w:iCs/>
          <w:sz w:val="24"/>
          <w:szCs w:val="24"/>
        </w:rPr>
        <w:t>Oñati Socio-Legal Series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w:t>
      </w:r>
      <w:r>
        <w:rPr>
          <w:rFonts w:ascii="Times New Roman" w:eastAsia="Times New Roman" w:hAnsi="Times New Roman" w:cs="Times New Roman"/>
          <w:sz w:val="24"/>
          <w:szCs w:val="24"/>
        </w:rPr>
        <w:t>(6), 1166–1192. https://doi.org/10.35295/osls.iisl/0000-0000-0000-1127</w:t>
      </w:r>
    </w:p>
    <w:p w14:paraId="675546A4"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Macpherson, I. (2013). </w:t>
      </w:r>
      <w:r>
        <w:rPr>
          <w:rFonts w:ascii="Times New Roman" w:eastAsia="Times New Roman" w:hAnsi="Times New Roman" w:cs="Times New Roman"/>
          <w:i/>
          <w:iCs/>
          <w:sz w:val="24"/>
          <w:szCs w:val="24"/>
        </w:rPr>
        <w:t>United Farmers of Canada | The Canadian Encyclopedia</w:t>
      </w:r>
      <w:r>
        <w:rPr>
          <w:rFonts w:ascii="Times New Roman" w:eastAsia="Times New Roman" w:hAnsi="Times New Roman" w:cs="Times New Roman"/>
          <w:sz w:val="24"/>
          <w:szCs w:val="24"/>
        </w:rPr>
        <w:t>. https://www.thecanadianencyclopedia.ca/en/article/united-farmers-of-canada</w:t>
      </w:r>
    </w:p>
    <w:p w14:paraId="4D83F7E4"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Mackenzie King, W. L. (1936). </w:t>
      </w:r>
      <w:r>
        <w:rPr>
          <w:rFonts w:ascii="Times New Roman" w:eastAsia="Times New Roman" w:hAnsi="Times New Roman" w:cs="Times New Roman"/>
          <w:i/>
          <w:iCs/>
          <w:sz w:val="24"/>
          <w:szCs w:val="24"/>
        </w:rPr>
        <w:t>House of Commons Address</w:t>
      </w:r>
      <w:r>
        <w:rPr>
          <w:rFonts w:ascii="Times New Roman" w:eastAsia="Times New Roman" w:hAnsi="Times New Roman" w:cs="Times New Roman"/>
          <w:sz w:val="24"/>
          <w:szCs w:val="24"/>
        </w:rPr>
        <w:t xml:space="preserve"> [Speech].</w:t>
      </w:r>
    </w:p>
    <w:p w14:paraId="5AC9B866"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Micu, A. (2021, December 9). </w:t>
      </w:r>
      <w:r>
        <w:rPr>
          <w:rFonts w:ascii="Times New Roman" w:eastAsia="Times New Roman" w:hAnsi="Times New Roman" w:cs="Times New Roman"/>
          <w:i/>
          <w:iCs/>
          <w:sz w:val="24"/>
          <w:szCs w:val="24"/>
        </w:rPr>
        <w:t>Political polarization is on the rise around the globe, fueled by inequality</w:t>
      </w:r>
      <w:r>
        <w:rPr>
          <w:rFonts w:ascii="Times New Roman" w:eastAsia="Times New Roman" w:hAnsi="Times New Roman" w:cs="Times New Roman"/>
          <w:sz w:val="24"/>
          <w:szCs w:val="24"/>
        </w:rPr>
        <w:t>. ZME Science. https://www.zmescience.com/science/political-polarization-global-issue-inequality-26437363/</w:t>
      </w:r>
    </w:p>
    <w:p w14:paraId="07B40157"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Policy Form, &amp; Ling, J. (2023). </w:t>
      </w:r>
      <w:r>
        <w:rPr>
          <w:rFonts w:ascii="Times New Roman" w:eastAsia="Times New Roman" w:hAnsi="Times New Roman" w:cs="Times New Roman"/>
          <w:i/>
          <w:iCs/>
          <w:sz w:val="24"/>
          <w:szCs w:val="24"/>
        </w:rPr>
        <w:t>Far and widening the rise of polarization in Canada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https://ppforum.ca/publications/polarization-democracy-canada/</w:t>
      </w:r>
    </w:p>
    <w:p w14:paraId="1FA429BE"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Russell, P. (2015). </w:t>
      </w:r>
      <w:r>
        <w:rPr>
          <w:rFonts w:ascii="Times New Roman" w:eastAsia="Times New Roman" w:hAnsi="Times New Roman" w:cs="Times New Roman"/>
          <w:i/>
          <w:iCs/>
          <w:sz w:val="24"/>
          <w:szCs w:val="24"/>
        </w:rPr>
        <w:t>Progressive Party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The Canadian Encyclopedia</w:t>
      </w:r>
      <w:r>
        <w:rPr>
          <w:rFonts w:ascii="Times New Roman" w:eastAsia="Times New Roman" w:hAnsi="Times New Roman" w:cs="Times New Roman"/>
          <w:sz w:val="24"/>
          <w:szCs w:val="24"/>
        </w:rPr>
        <w:t>. https://www.thecanadianencyclopedia.ca/en/article/progressive-party</w:t>
      </w:r>
    </w:p>
    <w:p w14:paraId="77E22E45"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Schwartz, J. H. (2004). Development and progress of the Appalachian higher education network: A project of the Appalachian Regional Commission. In </w:t>
      </w:r>
      <w:r>
        <w:rPr>
          <w:rFonts w:ascii="Times New Roman" w:eastAsia="Times New Roman" w:hAnsi="Times New Roman" w:cs="Times New Roman"/>
          <w:i/>
          <w:iCs/>
          <w:sz w:val="24"/>
          <w:szCs w:val="24"/>
        </w:rPr>
        <w:t>Appalachian Regional Commission</w:t>
      </w:r>
      <w:r>
        <w:rPr>
          <w:rFonts w:ascii="Times New Roman" w:eastAsia="Times New Roman" w:hAnsi="Times New Roman" w:cs="Times New Roman"/>
          <w:sz w:val="24"/>
          <w:szCs w:val="24"/>
        </w:rPr>
        <w:t>. Appalachian Regional Commission.</w:t>
      </w:r>
    </w:p>
    <w:p w14:paraId="3B15FB83"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Soderbaum, F., &amp; Shaw, T. (2003). </w:t>
      </w:r>
      <w:r>
        <w:rPr>
          <w:rFonts w:ascii="Times New Roman" w:eastAsia="Times New Roman" w:hAnsi="Times New Roman" w:cs="Times New Roman"/>
          <w:i/>
          <w:iCs/>
          <w:sz w:val="24"/>
          <w:szCs w:val="24"/>
        </w:rPr>
        <w:t>Theories of New Regionalism</w:t>
      </w:r>
      <w:r>
        <w:rPr>
          <w:rFonts w:ascii="Times New Roman" w:eastAsia="Times New Roman" w:hAnsi="Times New Roman" w:cs="Times New Roman"/>
          <w:sz w:val="24"/>
          <w:szCs w:val="24"/>
        </w:rPr>
        <w:t>. Palgrave Macmillan.</w:t>
      </w:r>
    </w:p>
    <w:p w14:paraId="555EA063"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Saskatchewan, &amp; Préfontaine, D. (2018). </w:t>
      </w:r>
      <w:r>
        <w:rPr>
          <w:rFonts w:ascii="Times New Roman" w:eastAsia="Times New Roman" w:hAnsi="Times New Roman" w:cs="Times New Roman"/>
          <w:i/>
          <w:iCs/>
          <w:sz w:val="24"/>
          <w:szCs w:val="24"/>
        </w:rPr>
        <w:t>Métis Communities - Indigenous Saskatchewan Encyclopedia</w:t>
      </w:r>
      <w:r>
        <w:rPr>
          <w:rFonts w:ascii="Times New Roman" w:eastAsia="Times New Roman" w:hAnsi="Times New Roman" w:cs="Times New Roman"/>
          <w:sz w:val="24"/>
          <w:szCs w:val="24"/>
        </w:rPr>
        <w:t>. Teaching.usask.ca. https://teaching.usask.ca/indigenoussk/import/metis_communities.php</w:t>
      </w:r>
    </w:p>
    <w:p w14:paraId="2A3BE0F7" w14:textId="77777777" w:rsidR="00DF3F9D"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Vazzana, C. M., &amp; Rudi-Polloshka, J. (2019). Appalachia has got talent, but why does it flow away? A study on the determinants of brain drain From rural USA. </w:t>
      </w:r>
      <w:r>
        <w:rPr>
          <w:rFonts w:ascii="Times New Roman" w:eastAsia="Times New Roman" w:hAnsi="Times New Roman" w:cs="Times New Roman"/>
          <w:i/>
          <w:iCs/>
          <w:sz w:val="24"/>
          <w:szCs w:val="24"/>
        </w:rPr>
        <w:t>Economic Development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33</w:t>
      </w:r>
      <w:r>
        <w:rPr>
          <w:rFonts w:ascii="Times New Roman" w:eastAsia="Times New Roman" w:hAnsi="Times New Roman" w:cs="Times New Roman"/>
          <w:sz w:val="24"/>
          <w:szCs w:val="24"/>
        </w:rPr>
        <w:t>(3), 220–233. https://doi.org/10.1177/0891242419844320</w:t>
      </w:r>
    </w:p>
    <w:p w14:paraId="563225E4" w14:textId="77777777" w:rsidR="00DF3F9D" w:rsidRDefault="00DF3F9D">
      <w:pPr>
        <w:widowControl w:val="0"/>
        <w:spacing w:after="0" w:line="480" w:lineRule="auto"/>
        <w:ind w:left="720" w:hanging="720"/>
        <w:rPr>
          <w:rFonts w:ascii="Times New Roman" w:eastAsia="Times New Roman" w:hAnsi="Times New Roman" w:cs="Times New Roman"/>
          <w:sz w:val="24"/>
          <w:szCs w:val="24"/>
        </w:rPr>
      </w:pPr>
    </w:p>
    <w:p w14:paraId="5CE48494" w14:textId="77777777" w:rsidR="00DF3F9D" w:rsidRDefault="00DF3F9D">
      <w:pPr>
        <w:widowControl w:val="0"/>
        <w:spacing w:after="0" w:line="480" w:lineRule="auto"/>
        <w:ind w:left="720" w:right="255" w:hanging="720"/>
        <w:rPr>
          <w:rFonts w:ascii="Times New Roman" w:eastAsia="Times New Roman" w:hAnsi="Times New Roman" w:cs="Times New Roman"/>
          <w:sz w:val="24"/>
          <w:szCs w:val="24"/>
        </w:rPr>
      </w:pPr>
    </w:p>
    <w:sectPr w:rsidR="00DF3F9D">
      <w:headerReference w:type="default" r:id="rId8"/>
      <w:footerReference w:type="default" r:id="rId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C2FB" w14:textId="77777777" w:rsidR="004F22E4" w:rsidRDefault="004F22E4">
      <w:pPr>
        <w:spacing w:after="0" w:line="240" w:lineRule="auto"/>
      </w:pPr>
      <w:r>
        <w:separator/>
      </w:r>
    </w:p>
  </w:endnote>
  <w:endnote w:type="continuationSeparator" w:id="0">
    <w:p w14:paraId="20C85067" w14:textId="77777777" w:rsidR="004F22E4" w:rsidRDefault="004F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embedRegular r:id="rId1" w:fontKey="{B6891F0D-FAB4-EE40-AB55-71CEDE33426D}"/>
    <w:embedItalic r:id="rId2" w:fontKey="{CCFBEFC7-255A-7E4C-AFFA-4581EC26D040}"/>
  </w:font>
  <w:font w:name="Crimson Text">
    <w:charset w:val="00"/>
    <w:family w:val="auto"/>
    <w:pitch w:val="default"/>
    <w:embedRegular r:id="rId3" w:fontKey="{7547049C-86D6-DC46-ADD3-8DB569FE9DE2}"/>
    <w:embedBold r:id="rId4" w:fontKey="{CF3B7D5C-556A-BE4B-8B33-F86BF1AF1698}"/>
    <w:embedItalic r:id="rId5" w:fontKey="{627C8026-2B3C-D641-8C8B-CFE23F8B247C}"/>
    <w:embedBoldItalic r:id="rId6" w:fontKey="{F966E657-82F4-0444-BE28-7ADC0BB5DFF8}"/>
  </w:font>
  <w:font w:name="Times New Roman">
    <w:panose1 w:val="02020603050405020304"/>
    <w:charset w:val="00"/>
    <w:family w:val="roman"/>
    <w:pitch w:val="variable"/>
    <w:sig w:usb0="E0002EFF" w:usb1="C000785B" w:usb2="00000009" w:usb3="00000000" w:csb0="000001FF" w:csb1="00000000"/>
    <w:embedRegular r:id="rId7" w:fontKey="{D3548719-537D-6A4D-8E49-2B4C180CC613}"/>
    <w:embedBold r:id="rId8" w:fontKey="{126EBE8D-0085-1E4F-A6B1-002484DA3D16}"/>
    <w:embedItalic r:id="rId9" w:fontKey="{3EB3F12D-9E5D-534B-8552-81B325AE4296}"/>
  </w:font>
  <w:font w:name="Calibri">
    <w:panose1 w:val="020F0502020204030204"/>
    <w:charset w:val="00"/>
    <w:family w:val="swiss"/>
    <w:pitch w:val="variable"/>
    <w:sig w:usb0="E0002AFF" w:usb1="C000247B" w:usb2="00000009" w:usb3="00000000" w:csb0="000001FF" w:csb1="00000000"/>
    <w:embedRegular r:id="rId10" w:fontKey="{5DFBB961-99A5-A14F-A589-7B2075553676}"/>
  </w:font>
  <w:font w:name="Cambria">
    <w:panose1 w:val="02040503050406030204"/>
    <w:charset w:val="00"/>
    <w:family w:val="roman"/>
    <w:pitch w:val="variable"/>
    <w:sig w:usb0="E00002FF" w:usb1="400004FF" w:usb2="00000000" w:usb3="00000000" w:csb0="0000019F" w:csb1="00000000"/>
    <w:embedRegular r:id="rId11" w:fontKey="{D5575E8C-8A2D-DD49-8FBB-1B137EBA81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3A71" w14:textId="77777777" w:rsidR="00DF3F9D"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534D93">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56C9" w14:textId="77777777" w:rsidR="004F22E4" w:rsidRDefault="004F22E4">
      <w:pPr>
        <w:spacing w:after="0" w:line="240" w:lineRule="auto"/>
      </w:pPr>
      <w:r>
        <w:separator/>
      </w:r>
    </w:p>
  </w:footnote>
  <w:footnote w:type="continuationSeparator" w:id="0">
    <w:p w14:paraId="74E50302" w14:textId="77777777" w:rsidR="004F22E4" w:rsidRDefault="004F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0E39" w14:textId="77777777" w:rsidR="00DF3F9D"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2026</w:t>
    </w:r>
    <w:r>
      <w:rPr>
        <w:rFonts w:ascii="Crimson Text" w:eastAsia="Crimson Text" w:hAnsi="Crimson Text" w:cs="Crimson Text"/>
        <w:color w:val="7A0808"/>
      </w:rPr>
      <w:tab/>
    </w:r>
  </w:p>
  <w:p w14:paraId="43A76BB6" w14:textId="77777777" w:rsidR="00DF3F9D" w:rsidRDefault="00DF3F9D">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F9D"/>
    <w:rsid w:val="004F22E4"/>
    <w:rsid w:val="00534D93"/>
    <w:rsid w:val="00DD7A5E"/>
    <w:rsid w:val="00DF3F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36F2155"/>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5427</Words>
  <Characters>30936</Characters>
  <Application>Microsoft Office Word</Application>
  <DocSecurity>0</DocSecurity>
  <Lines>257</Lines>
  <Paragraphs>72</Paragraphs>
  <ScaleCrop>false</ScaleCrop>
  <Company/>
  <LinksUpToDate>false</LinksUpToDate>
  <CharactersWithSpaces>36291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2</cp:revision>
  <dcterms:created xsi:type="dcterms:W3CDTF">2026-01-11T01:31:00Z</dcterms:created>
  <dcterms:modified xsi:type="dcterms:W3CDTF">2026-01-11T01:31:00Z</dcterms:modified>
</cp:coreProperties>
</file>