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AF716" w14:textId="77777777" w:rsidR="00164C97" w:rsidRDefault="00000000">
      <w:pPr>
        <w:pBdr>
          <w:top w:val="nil"/>
          <w:left w:val="nil"/>
          <w:bottom w:val="nil"/>
          <w:right w:val="nil"/>
          <w:between w:val="nil"/>
        </w:pBdr>
        <w:spacing w:after="0" w:line="240" w:lineRule="auto"/>
        <w:rPr>
          <w:rFonts w:ascii="Crimson Text" w:eastAsia="Crimson Text" w:hAnsi="Crimson Text" w:cs="Crimson Text"/>
          <w:i/>
          <w:iCs/>
          <w:color w:val="5B0505"/>
          <w:sz w:val="22"/>
          <w:szCs w:val="22"/>
        </w:rPr>
      </w:pPr>
      <w:r>
        <w:rPr>
          <w:rFonts w:ascii="Crimson Text" w:eastAsia="Crimson Text" w:hAnsi="Crimson Text" w:cs="Crimson Text"/>
          <w:i/>
          <w:iCs/>
          <w:color w:val="5B0505"/>
          <w:sz w:val="22"/>
          <w:szCs w:val="22"/>
        </w:rPr>
        <w:t>La Théorie et Langue Politique</w:t>
      </w:r>
    </w:p>
    <w:p w14:paraId="6455DA29" w14:textId="77777777" w:rsidR="00164C97" w:rsidRDefault="00000000">
      <w:pPr>
        <w:pStyle w:val="Title"/>
        <w:spacing w:line="240" w:lineRule="auto"/>
        <w:jc w:val="left"/>
        <w:rPr>
          <w:b w:val="0"/>
          <w:bCs w:val="0"/>
          <w:i/>
          <w:iCs/>
          <w:sz w:val="40"/>
          <w:szCs w:val="40"/>
        </w:rPr>
      </w:pPr>
      <w:r>
        <w:rPr>
          <w:b w:val="0"/>
          <w:bCs w:val="0"/>
        </w:rPr>
        <w:t xml:space="preserve">| </w:t>
      </w:r>
      <w:r>
        <w:rPr>
          <w:b w:val="0"/>
          <w:bCs w:val="0"/>
          <w:sz w:val="40"/>
          <w:szCs w:val="40"/>
        </w:rPr>
        <w:t>Revitalisation des langues autochtones: Analyse de la Loi sur les Langues Autochtones (LLA) 2019</w:t>
      </w:r>
    </w:p>
    <w:p w14:paraId="4C9F488F" w14:textId="77777777" w:rsidR="00164C97" w:rsidRDefault="00000000">
      <w:pPr>
        <w:pStyle w:val="Subtitle"/>
        <w:spacing w:line="240" w:lineRule="auto"/>
        <w:jc w:val="left"/>
      </w:pPr>
      <w:r>
        <w:rPr>
          <w:rFonts w:ascii="Crimson Text" w:eastAsia="Crimson Text" w:hAnsi="Crimson Text" w:cs="Crimson Text"/>
          <w:sz w:val="28"/>
          <w:szCs w:val="28"/>
        </w:rPr>
        <w:t>Adria Diallo-Leconte</w:t>
      </w:r>
      <w:r>
        <w:rPr>
          <w:noProof/>
        </w:rPr>
        <mc:AlternateContent>
          <mc:Choice Requires="wpg">
            <w:drawing>
              <wp:anchor distT="0" distB="0" distL="114300" distR="114300" simplePos="0" relativeHeight="251658240" behindDoc="0" locked="0" layoutInCell="1" hidden="0" allowOverlap="1" wp14:anchorId="22593B07" wp14:editId="543A468C">
                <wp:simplePos x="0" y="0"/>
                <wp:positionH relativeFrom="column">
                  <wp:posOffset>2038350</wp:posOffset>
                </wp:positionH>
                <wp:positionV relativeFrom="paragraph">
                  <wp:posOffset>2556510</wp:posOffset>
                </wp:positionV>
                <wp:extent cx="127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431600" y="3780000"/>
                          <a:ext cx="1828800" cy="0"/>
                        </a:xfrm>
                        <a:prstGeom prst="straightConnector1">
                          <a:avLst/>
                        </a:prstGeom>
                        <a:noFill/>
                        <a:ln w="9525" cap="flat" cmpd="sng">
                          <a:solidFill>
                            <a:srgbClr val="7A0808"/>
                          </a:solidFill>
                          <a:prstDash val="solid"/>
                          <a:round/>
                          <a:headEnd type="none" w="sm" len="sm"/>
                          <a:tailEnd type="none" w="sm" len="sm"/>
                        </a:ln>
                        <a:effectLst>
                          <a:outerShdw blurRad="40000" dist="20000" dir="5400000" rotWithShape="0">
                            <a:srgbClr val="000000">
                              <a:alpha val="0"/>
                            </a:srgbClr>
                          </a:outerShdw>
                        </a:effectLst>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2038350</wp:posOffset>
                </wp:positionH>
                <wp:positionV relativeFrom="paragraph">
                  <wp:posOffset>2556510</wp:posOffset>
                </wp:positionV>
                <wp:extent cx="12700" cy="12700"/>
                <wp:effectExtent b="0" l="0" r="0" t="0"/>
                <wp:wrapNone/>
                <wp:docPr id="1"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12700" cy="12700"/>
                        </a:xfrm>
                        <a:prstGeom prst="rect"/>
                        <a:ln/>
                      </pic:spPr>
                    </pic:pic>
                  </a:graphicData>
                </a:graphic>
              </wp:anchor>
            </w:drawing>
          </mc:Fallback>
        </mc:AlternateContent>
      </w:r>
    </w:p>
    <w:p w14:paraId="15AF84D9" w14:textId="77777777" w:rsidR="00164C97" w:rsidRDefault="00000000">
      <w:pPr>
        <w:pStyle w:val="Subtitle"/>
        <w:spacing w:line="240" w:lineRule="auto"/>
        <w:jc w:val="left"/>
      </w:pPr>
      <w:bookmarkStart w:id="0" w:name="_s5b6hkpm2cvz" w:colFirst="0" w:colLast="0"/>
      <w:bookmarkEnd w:id="0"/>
      <w:r>
        <w:rPr>
          <w:rFonts w:ascii="Times New Roman" w:eastAsia="Times New Roman" w:hAnsi="Times New Roman" w:cs="Times New Roman"/>
          <w:b/>
          <w:bCs/>
          <w:i w:val="0"/>
          <w:iCs w:val="0"/>
          <w:sz w:val="22"/>
          <w:szCs w:val="22"/>
        </w:rPr>
        <w:t xml:space="preserve">Mots clés: </w:t>
      </w:r>
      <w:r>
        <w:rPr>
          <w:rFonts w:ascii="Times New Roman" w:eastAsia="Times New Roman" w:hAnsi="Times New Roman" w:cs="Times New Roman"/>
          <w:color w:val="000000"/>
          <w:sz w:val="22"/>
          <w:szCs w:val="22"/>
        </w:rPr>
        <w:t>Langues autochtones, politiques linguistiques, tradition étatique, contexte constitutif, territorialité dynamique</w:t>
      </w:r>
    </w:p>
    <w:p w14:paraId="098825B8" w14:textId="77777777" w:rsidR="00164C97" w:rsidRDefault="00000000">
      <w:pPr>
        <w:pStyle w:val="Subtitle"/>
        <w:spacing w:after="0" w:line="360" w:lineRule="auto"/>
        <w:jc w:val="both"/>
        <w:rPr>
          <w:rFonts w:ascii="Times New Roman" w:eastAsia="Times New Roman" w:hAnsi="Times New Roman" w:cs="Times New Roman"/>
          <w:color w:val="000000"/>
          <w:sz w:val="22"/>
          <w:szCs w:val="22"/>
        </w:rPr>
      </w:pPr>
      <w:r>
        <w:rPr>
          <w:noProof/>
        </w:rPr>
        <w:drawing>
          <wp:anchor distT="114300" distB="114300" distL="114300" distR="114300" simplePos="0" relativeHeight="251659264" behindDoc="0" locked="0" layoutInCell="1" hidden="0" allowOverlap="1" wp14:anchorId="5AB13BE1" wp14:editId="5C530A77">
            <wp:simplePos x="0" y="0"/>
            <wp:positionH relativeFrom="column">
              <wp:posOffset>28576</wp:posOffset>
            </wp:positionH>
            <wp:positionV relativeFrom="paragraph">
              <wp:posOffset>167667</wp:posOffset>
            </wp:positionV>
            <wp:extent cx="5883196" cy="3724139"/>
            <wp:effectExtent l="0" t="0" r="0" b="0"/>
            <wp:wrapSquare wrapText="bothSides" distT="114300" distB="11430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5883196" cy="3724139"/>
                    </a:xfrm>
                    <a:prstGeom prst="rect">
                      <a:avLst/>
                    </a:prstGeom>
                    <a:ln/>
                  </pic:spPr>
                </pic:pic>
              </a:graphicData>
            </a:graphic>
          </wp:anchor>
        </w:drawing>
      </w:r>
    </w:p>
    <w:p w14:paraId="471BAFC0" w14:textId="77777777" w:rsidR="00164C97" w:rsidRDefault="00000000">
      <w:pPr>
        <w:pStyle w:val="Subtitle"/>
        <w:spacing w:after="0" w:line="360" w:lineRule="auto"/>
        <w:jc w:val="both"/>
        <w:rPr>
          <w:color w:val="000000"/>
          <w:sz w:val="21"/>
          <w:szCs w:val="21"/>
        </w:rPr>
      </w:pPr>
      <w:r>
        <w:rPr>
          <w:color w:val="000000"/>
          <w:sz w:val="21"/>
          <w:szCs w:val="21"/>
        </w:rPr>
        <w:br/>
      </w:r>
    </w:p>
    <w:p w14:paraId="0C324387" w14:textId="77777777" w:rsidR="00164C97" w:rsidRDefault="00164C97"/>
    <w:p w14:paraId="7F553F4C" w14:textId="77777777" w:rsidR="00164C97" w:rsidRDefault="00164C97"/>
    <w:p w14:paraId="046A3BBA" w14:textId="77777777" w:rsidR="00164C97" w:rsidRDefault="00164C97"/>
    <w:p w14:paraId="7A81FE72" w14:textId="77777777" w:rsidR="00164C97" w:rsidRDefault="00164C97"/>
    <w:p w14:paraId="680B5E3D" w14:textId="77777777" w:rsidR="00164C97" w:rsidRDefault="00164C97"/>
    <w:p w14:paraId="172B298C" w14:textId="77777777" w:rsidR="00164C97" w:rsidRDefault="00000000">
      <w:pPr>
        <w:pStyle w:val="Subtitle"/>
        <w:spacing w:after="0" w:line="360" w:lineRule="auto"/>
        <w:jc w:val="both"/>
        <w:rPr>
          <w:rFonts w:ascii="Crimson Text" w:eastAsia="Crimson Text" w:hAnsi="Crimson Text" w:cs="Crimson Text"/>
          <w:b/>
          <w:bCs/>
          <w:color w:val="000000"/>
          <w:sz w:val="21"/>
          <w:szCs w:val="21"/>
        </w:rPr>
      </w:pPr>
      <w:r>
        <w:rPr>
          <w:rFonts w:ascii="Crimson Text" w:eastAsia="Crimson Text" w:hAnsi="Crimson Text" w:cs="Crimson Text"/>
          <w:b/>
          <w:bCs/>
          <w:sz w:val="40"/>
          <w:szCs w:val="40"/>
        </w:rPr>
        <w:lastRenderedPageBreak/>
        <w:t>Introduction</w:t>
      </w:r>
      <w:r>
        <w:rPr>
          <w:rFonts w:ascii="Crimson Text" w:eastAsia="Crimson Text" w:hAnsi="Crimson Text" w:cs="Crimson Text"/>
          <w:b/>
          <w:bCs/>
          <w:sz w:val="40"/>
          <w:szCs w:val="40"/>
        </w:rPr>
        <w:tab/>
      </w:r>
    </w:p>
    <w:p w14:paraId="6DE59C19" w14:textId="77777777" w:rsidR="00164C97" w:rsidRDefault="00000000">
      <w:pPr>
        <w:pStyle w:val="Subtitle"/>
        <w:spacing w:after="0" w:line="480" w:lineRule="auto"/>
        <w:jc w:val="both"/>
        <w:rPr>
          <w:rFonts w:ascii="Times New Roman" w:eastAsia="Times New Roman" w:hAnsi="Times New Roman" w:cs="Times New Roman"/>
          <w:i w:val="0"/>
          <w:iCs w:val="0"/>
          <w:color w:val="000000"/>
        </w:rPr>
      </w:pPr>
      <w:r>
        <w:rPr>
          <w:rFonts w:ascii="Crimson Text" w:eastAsia="Crimson Text" w:hAnsi="Crimson Text" w:cs="Crimson Text"/>
          <w:b/>
          <w:bCs/>
          <w:color w:val="000000"/>
          <w:sz w:val="21"/>
          <w:szCs w:val="21"/>
        </w:rPr>
        <w:tab/>
      </w:r>
      <w:r>
        <w:rPr>
          <w:rFonts w:ascii="Times New Roman" w:eastAsia="Times New Roman" w:hAnsi="Times New Roman" w:cs="Times New Roman"/>
          <w:i w:val="0"/>
          <w:iCs w:val="0"/>
          <w:color w:val="000000"/>
        </w:rPr>
        <w:t xml:space="preserve">Au Canada, les langues autochtones sont les langues de souche du territoire, pourtant celles-ci font aujourd’hui face à une menace d’érosion importante. Recensant plus de 70 langues autochtones sur son territoire (Statistique Canada, 2021), l’héritage colonial qui marque l’histoire de ces langues, ancré dans la volonté de les assimiler aux langues coloniales, fait que celles-ci sont aujourd’hui, pour la plupart, menacées de disparition. </w:t>
      </w:r>
    </w:p>
    <w:p w14:paraId="1CA26CC9" w14:textId="77777777" w:rsidR="00164C97" w:rsidRDefault="00000000">
      <w:pPr>
        <w:spacing w:after="0"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Toutefois, certaines ruptures étatiques ont permis de réinscrire à l’agenda politique la protection des langues autochtones au XXIe siècle, menant, en 2019, à la rédaction de la Loi sur les Langues Autochtones (LLA), une politique linguistique visant à protéger ces langues. On pense notamment au contexte international, et à la Déclaration des Nations Unies sur les droits des peuples autochtones, qui met en avant la nécessité de protéger ces langues. Au Canada, le processus de réconciliation, qui vise à réparer certains torts historiquement commis par le gouvernement canadien depuis sa création en 1867, accéléré par l’arrivée du gouvernement libéral de Trudeau en 2015, a permis de remettre à l’ordre du jour les questions des communautés autochtones. La LLA est donc rédigée en 2019 dans ce contexte de rupture politique et symbolique. </w:t>
      </w:r>
    </w:p>
    <w:p w14:paraId="1E341EAF" w14:textId="77777777" w:rsidR="00164C97" w:rsidRDefault="00000000">
      <w:pPr>
        <w:spacing w:after="0"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Afin de comprendre la signification de la LLA pour les politiques linguistiques canadiennes et évaluer les avancées qu’elle tente de légiférer, il s’agit d’observer les cadres normatifs et politiques dans lesquels la loi opère. En analysant la LLA dans le cadre théorique de la tradition étatique, ainsi que du principe de la territorialité dynamique, il est possible d’examiner comment le contexte constitutif canadien influence la loi, ainsi que de mettre en lumière les défis conceptuels qui subsistent.</w:t>
      </w:r>
    </w:p>
    <w:p w14:paraId="5089D3E0" w14:textId="77777777" w:rsidR="00164C97" w:rsidRDefault="00164C97"/>
    <w:p w14:paraId="529209F9" w14:textId="77777777" w:rsidR="00164C97" w:rsidRDefault="00164C97">
      <w:pPr>
        <w:pStyle w:val="Subtitle"/>
        <w:spacing w:after="0" w:line="480" w:lineRule="auto"/>
        <w:jc w:val="both"/>
      </w:pPr>
    </w:p>
    <w:p w14:paraId="479567E1" w14:textId="77777777" w:rsidR="00164C97" w:rsidRDefault="00000000">
      <w:pPr>
        <w:pStyle w:val="Subtitle"/>
        <w:spacing w:after="0" w:line="360" w:lineRule="auto"/>
        <w:jc w:val="both"/>
        <w:rPr>
          <w:rFonts w:ascii="Times New Roman" w:eastAsia="Times New Roman" w:hAnsi="Times New Roman" w:cs="Times New Roman"/>
        </w:rPr>
      </w:pPr>
      <w:bookmarkStart w:id="1" w:name="_pxq4xego277e" w:colFirst="0" w:colLast="0"/>
      <w:bookmarkEnd w:id="1"/>
      <w:r>
        <w:rPr>
          <w:rFonts w:ascii="Crimson Text" w:eastAsia="Crimson Text" w:hAnsi="Crimson Text" w:cs="Crimson Text"/>
          <w:b/>
          <w:bCs/>
          <w:sz w:val="40"/>
          <w:szCs w:val="40"/>
        </w:rPr>
        <w:lastRenderedPageBreak/>
        <w:t>Synthèse de la Loi sur les Langues Autochtones</w:t>
      </w:r>
    </w:p>
    <w:p w14:paraId="49BEF516" w14:textId="77777777" w:rsidR="00164C97" w:rsidRDefault="00000000">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La Loi sur les langues autochtones, sanctionnée en 2019, peut d’abord être appréhendée en trois parties principales : l’énonciation de ses objectifs, le rôle des acteurs ayant pour but de mettre en place ces objectifs et les moyens par lesquels les acteurs sont incités à les atteindre. L’ensemble de ces éléments relève,de manière générale, à l’aménagement de la politique linguistique sur les langues autochtones. </w:t>
      </w:r>
    </w:p>
    <w:p w14:paraId="3DCD185F" w14:textId="77777777" w:rsidR="00164C97" w:rsidRDefault="00000000">
      <w:pPr>
        <w:spacing w:after="0"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Les buts et objectifs de la politique linguistique s’inscrivent dans l’esprit de la réconciliation avec les peuples autochtones, en reconnaissant que les pratiques discriminatoires, telles que les pensionnats, ont contribué à l’érosion des langues autochtones. En effet, la loi répond au rapport déposé en 2012 par la Commission de vérité et réconciliation du Canada en particulier au quatorzième appel qui réclame l’adoption d’une loi fédérale sur les langues autochtones (Commission de vérité et réconciliation, 2012).  La loi a donc pour but principal de revitaliser les langues autochtones en soutenant la promotion de celles-ci à travers la société canadienne. Comme l’indique l’article 5 de la loi, qui définit son objet, en soutenant la promotion des langues autochtones ainsi que les efforts pour leur insertion notamment dans le milieu politique fédéral, mais aussi dans la société civile, par la promotion d’organismes spécialisés en matière de langues autochtones, et de soutenir leur apprentissage (LLA, 2019, art. 5). </w:t>
      </w:r>
    </w:p>
    <w:p w14:paraId="002CC404" w14:textId="77777777" w:rsidR="00164C97" w:rsidRDefault="00000000">
      <w:pPr>
        <w:spacing w:after="0"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L’objectif de la revitalisation de ces langues peut se référer à un aménagement du statut, dans l’idée que la loi doit permettre de mettre en valeur leur importance pour les communautés autochtones afin d’en assurer la réappropriation, la revitalisation et le maintien. </w:t>
      </w:r>
      <w:r>
        <w:rPr>
          <w:rFonts w:ascii="Times New Roman" w:eastAsia="Times New Roman" w:hAnsi="Times New Roman" w:cs="Times New Roman"/>
          <w:sz w:val="24"/>
          <w:szCs w:val="24"/>
        </w:rPr>
        <w:tab/>
      </w:r>
    </w:p>
    <w:p w14:paraId="50687637" w14:textId="77777777" w:rsidR="00164C97" w:rsidRDefault="00000000">
      <w:pPr>
        <w:spacing w:after="0"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loi établit ensuite les principaux acteurs chargés de mettre en place les stratégies et plans de revitalisation des langues. Le Bureau du commissaire aux langues autochtones est l’acteur principal chargé de rédiger les plans et les rapports et de superviser les financements des projets </w:t>
      </w:r>
      <w:r>
        <w:rPr>
          <w:rFonts w:ascii="Times New Roman" w:eastAsia="Times New Roman" w:hAnsi="Times New Roman" w:cs="Times New Roman"/>
          <w:sz w:val="24"/>
          <w:szCs w:val="24"/>
        </w:rPr>
        <w:lastRenderedPageBreak/>
        <w:t>(LLA, 2019, art. 12). Il s’agit d’un organisme indépendant de l’État, non rattaché à la fonction publique fédérale, dirigé par un commissaire nommé sous recommandation du ministre du Patrimoine. Le Bureau collabore avec d’autres acteurs, tels que les gouvernements et corps dirigeants autochtones mentionnés dans la loi, pour déterminer les mesures à prendre afin d’atteindre les objectifs énoncés. Enfin, les institutions fédérales sont aussi considérées comme des acteurs de la loi linguistique selon l’article 10, car elles sont incitées à participer à l’intégration et à la valorisation des langues autochtones dans les institutions et services publics.</w:t>
      </w:r>
    </w:p>
    <w:p w14:paraId="528BEEA1" w14:textId="77777777" w:rsidR="00164C97" w:rsidRDefault="00000000">
      <w:pPr>
        <w:spacing w:after="0"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Troisièmement, la loi décrit les moyens et aménagements prévus pour parvenir aux objectifs qu’elle énonce, tels que l’aménagement du corpus des langues autochtones, comme indiqué au paragraphe 5(b)(iii), qui a pour but de codifier et de normaliser les lexiques et grammaires de certaines de ces langues en créant des « documents permanents ». Au-delà de cet aménagement du corpus, il est aussi question d’encourager la collaboration entre les différents acteurs de cette loi. En effet, les domaines d’intervention visés sont peu définis ; il s’agit uniquement d’incitations à collaborer entre les gouvernements, comme l’exemple du Bureau du commissaire, qui collabore avec les gouvernements autochtones, mais aussi avec les gouvernements provinciaux et territoriaux.  </w:t>
      </w:r>
    </w:p>
    <w:p w14:paraId="5D4E65C3" w14:textId="77777777" w:rsidR="00164C97" w:rsidRDefault="00000000">
      <w:pPr>
        <w:spacing w:after="0"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Chacun de ces éléments fonctionne entre eux pour tenter d’établir des moyens et actions concrètes, qui permettront d’atteindre les objectifs fixés par la loi. D’abord, les aménagements peuvent être interprétés comme des mesures permettant de tracer la voie vers l’atteinte des objectifs de la loi. L’aménagement du code des langues, par exemple, permettrait d'accroître les capacités de revitalisation en facilitant l’éducation de ces langues, contribuant à l’augmentation du nombre de locuteurs et à la promotion de leur apprentissage (Drapeau et Corbeil 1992, 389).</w:t>
      </w:r>
    </w:p>
    <w:p w14:paraId="23A2CA6D" w14:textId="77777777" w:rsidR="00164C97" w:rsidRDefault="00000000">
      <w:pPr>
        <w:spacing w:after="0"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D’un autre côté, les acteurs désignés par la loi sont responsables de la majorité des développements de ces objectifs ainsi que de la gestion des différents projets visant à soutenir la promotion des langues. La responsabilité de la création de documents permanents ayant pour but la codification des langues, par exemple, est implicitement attribuée au Bureau du commissaire et devrait être mise en place à travers une collaboration entre les acteurs nommés par la loi. </w:t>
      </w:r>
    </w:p>
    <w:p w14:paraId="373C703F" w14:textId="77777777" w:rsidR="00164C97" w:rsidRDefault="00000000">
      <w:pPr>
        <w:spacing w:after="0"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Dans leur ensemble, les différentes parties de la loi se complètent pour tenter d’établir un plan d’action général énonçant les acteurs et les projets pouvant prendre place pour participer à la revitalisation et à la promotion des langues autochtones. </w:t>
      </w:r>
    </w:p>
    <w:p w14:paraId="24AAE0A7" w14:textId="77777777" w:rsidR="00164C97" w:rsidRDefault="00164C97">
      <w:pPr>
        <w:spacing w:after="0" w:line="479" w:lineRule="auto"/>
        <w:jc w:val="both"/>
        <w:rPr>
          <w:rFonts w:ascii="Times New Roman" w:eastAsia="Times New Roman" w:hAnsi="Times New Roman" w:cs="Times New Roman"/>
          <w:sz w:val="24"/>
          <w:szCs w:val="24"/>
        </w:rPr>
      </w:pPr>
    </w:p>
    <w:p w14:paraId="4A79303F" w14:textId="77777777" w:rsidR="00164C97" w:rsidRDefault="00000000">
      <w:pPr>
        <w:pStyle w:val="Subtitle"/>
        <w:spacing w:after="0" w:line="360" w:lineRule="auto"/>
        <w:jc w:val="both"/>
        <w:rPr>
          <w:rFonts w:ascii="Crimson Text" w:eastAsia="Crimson Text" w:hAnsi="Crimson Text" w:cs="Crimson Text"/>
          <w:i w:val="0"/>
          <w:iCs w:val="0"/>
          <w:sz w:val="40"/>
          <w:szCs w:val="40"/>
        </w:rPr>
      </w:pPr>
      <w:bookmarkStart w:id="2" w:name="_poa6mlb5uzmy" w:colFirst="0" w:colLast="0"/>
      <w:bookmarkEnd w:id="2"/>
      <w:r>
        <w:rPr>
          <w:rFonts w:ascii="Crimson Text" w:eastAsia="Crimson Text" w:hAnsi="Crimson Text" w:cs="Crimson Text"/>
          <w:b/>
          <w:bCs/>
          <w:sz w:val="40"/>
          <w:szCs w:val="40"/>
        </w:rPr>
        <w:t>Cadre d’analyse</w:t>
      </w:r>
    </w:p>
    <w:p w14:paraId="263CC8F7" w14:textId="77777777" w:rsidR="00164C97" w:rsidRDefault="00000000">
      <w:pPr>
        <w:spacing w:after="0"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loi sur les langues autochtones peut être analysée à travers le principe de territorialité linguistique dynamique (PTLD) et le concept d’espaces, tel que développé par Forgues (2020), ainsi que par le concept de la tradition étatique. Traditionnellement, la territorialité linguistique repose sur l’idée qu’une langue minoritaire nécessite un territoire défini pour assurer sa survie et sa vitalité, sans quoi les langues minoritaires sont vouées à être « étouffées » par les langues dominantes (Laponce, 2001). </w:t>
      </w:r>
    </w:p>
    <w:p w14:paraId="04F66AAD" w14:textId="77777777" w:rsidR="00164C97" w:rsidRDefault="00000000">
      <w:pPr>
        <w:spacing w:after="0"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 PTLD s’appuie sur ce constat pour repenser la territorialisation, notamment pour les groupes n’ayant pas accès à un territoire rigidement déterminé, ou dont la communauté n’est pas assez concentrée pour être territorialisée. Le PTLD va au-delà de la simple délimitation d’une langue unique sur un territoire établi, car il tente de prendre en compte les spécificités démographiques et culturelles des groupes aux langues minoritaires. Dans le cas des langues autochtones, la complexité de territorialiser les langues de manière rigide renforce la conception de la territorialité comme un aspect dynamique. De plus, le territoire pour les langues autochtones </w:t>
      </w:r>
      <w:r>
        <w:rPr>
          <w:rFonts w:ascii="Times New Roman" w:eastAsia="Times New Roman" w:hAnsi="Times New Roman" w:cs="Times New Roman"/>
          <w:sz w:val="24"/>
          <w:szCs w:val="24"/>
        </w:rPr>
        <w:lastRenderedPageBreak/>
        <w:t xml:space="preserve">possède des portées symboliques puissantes qui doivent être prises en compte lors des discussions sur les langues et leur place sur un territoire. Selon certaines compréhensions du monde, les langues et le territoire sont inséparables et offrent des relations symbiotiques entre les langues et les territoires qui se répercutent sur différents niveaux, mentaux, physiques ou encore spirituels (Chiblow et Meighan 2022, 208). Le territoire devient alors un concept central pour les langues autochtones puisqu’il ne peut pas être dissocié des relations qu’elles entretiennent sur celui-ci. </w:t>
      </w:r>
    </w:p>
    <w:p w14:paraId="7C671223" w14:textId="77777777" w:rsidR="00164C97" w:rsidRDefault="00000000">
      <w:pPr>
        <w:spacing w:after="0"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Dans le contexte canadien, les deux langues officielles, français et anglais, dominent le territoire national linguistique où les langues autochtones sont fragmentées et dispersées sur plusieurs provinces, ce qui rend leur territoire large et peu concentré, comme pour la communauté linguistique micmac qui s’étend de la Nouvelle-Écosse, au Nouveau-Brunswick, à Terre-Neuve, au Québec et au Maine et au Massachusetts (Takam 2013, 40). Le PTLD permet de rassembler les locuteurs sans pour autant établir des frontières rigides autour d’un territoire dont les frontières linguistiques ont été historiquement délimitées par les puissances coloniales depuis la Loi sur les langues officielles de 1969 (LLO, 1969). </w:t>
      </w:r>
    </w:p>
    <w:p w14:paraId="192FB7C3" w14:textId="77777777" w:rsidR="00164C97" w:rsidRDefault="00000000">
      <w:pPr>
        <w:spacing w:after="0"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Le PTLD a été défini par Nenad Stojanovic dans son étude de la </w:t>
      </w:r>
      <w:r>
        <w:rPr>
          <w:rFonts w:ascii="Times New Roman" w:eastAsia="Times New Roman" w:hAnsi="Times New Roman" w:cs="Times New Roman"/>
          <w:i/>
          <w:iCs/>
          <w:sz w:val="24"/>
          <w:szCs w:val="24"/>
        </w:rPr>
        <w:t xml:space="preserve">Loi sur les langues </w:t>
      </w:r>
      <w:r>
        <w:rPr>
          <w:rFonts w:ascii="Times New Roman" w:eastAsia="Times New Roman" w:hAnsi="Times New Roman" w:cs="Times New Roman"/>
          <w:sz w:val="24"/>
          <w:szCs w:val="24"/>
        </w:rPr>
        <w:t xml:space="preserve">du canton des Grisons en Suisse, mais il peut être davantage précisé à travers les concepts d’espaces et de complétude institutionnelle proposés par Forgues et ses collègues (2020). L’espace se réfère ici à un ensemble de lieux non territorialisés, qui répondent aux besoins des communautés pour lesquelles ils sont développés. Un espace, au sens large, est formé de différentes institutions visant à répondre aux besoins d’une communauté, qui peuvent être sociales, institutionnelles, communautaires et peuvent parfois être considérées comme des territoires institutionnels ou numériques (Forgues 2020, 36). Dans le cas des langues autochtones, il pourrait s’agir de la mise en place de programmes scolaires, de stations de radio ou d’organismes communautaires qui </w:t>
      </w:r>
      <w:r>
        <w:rPr>
          <w:rFonts w:ascii="Times New Roman" w:eastAsia="Times New Roman" w:hAnsi="Times New Roman" w:cs="Times New Roman"/>
          <w:sz w:val="24"/>
          <w:szCs w:val="24"/>
        </w:rPr>
        <w:lastRenderedPageBreak/>
        <w:t xml:space="preserve">permettraient de rassembler les locuteurs de certaines langues entre eux et de raviver leur utilisation. Cela s’inscrit dans la continuité des appels à l’action qui cherchent à implémenter différents lieux et organisations où les langues pourraient être utilisées, permettant l’idée de l’implémentation d’espaces ancrée dans les dynamiques des recommandations autochtones. Le seizième appel, par exemple, recommande la création de programmes et de diplômes postsecondaires en langues autochtones, ce qui permettrait l’utilisation des langues autochtones dans des espaces non territorialisés et rassemblant les locuteurs. Ces nouvelles conceptions du territoire ne répondent pas à une région géographique rigide mais plutôt à des espaces qui, ensemble, forment une collectivité territoriale fonctionnant dans la langue de la minorité qui les revendiquent. De plus, ils peuvent aussi s’ancrer dans une conception immatérielle du territoire grâce à l’idée d’un territoire numérique. À l’ère de la technologie, ce concept permet de créer des lieux de rassemblement pour les communautés, souvent autour de l’organisation et de la création de plateformes numériques ou de réseaux virtuels. </w:t>
      </w:r>
    </w:p>
    <w:p w14:paraId="56A96EA8" w14:textId="77777777" w:rsidR="00164C97" w:rsidRDefault="00000000">
      <w:pPr>
        <w:spacing w:after="0"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Toutefois, analyser la LLA selon les concepts de territoires dynamiques doit aussi se faire en prenant en compte l’importance de ce que Forgues (2020) nomme la complétude institutionnelle. Ce concept met l’accent sur le fait que la concentration et la multiplicité des institutions, qui offrent divers services, assurent la vitalité d’une minorité linguistique car elles facilitent l’accès et l’utilisation des langues de ces institutions et participent donc au maintien de celle-ci. Selon ces concepts de la territorialité dynamique, l’analyse ne peut se limiter à observer comment la LLA tente de développer des espaces pour les communautés des langues autochtones minoritaires, mais doit aussi examiner comment ces espaces sont conçus et perçus comme un ensemble visant à revigorer, ou non, les langues autochtones. </w:t>
      </w:r>
    </w:p>
    <w:p w14:paraId="3D07136D" w14:textId="77777777" w:rsidR="00164C97" w:rsidRDefault="00000000">
      <w:pPr>
        <w:spacing w:after="0"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Finalement, il est nécessaire d’ancrer une analyse de la LLA dans le concept de tradition étatique, comme cadre théorique, pour comprendre l’importance du PTLD. La tradition étatique, en tant que concept analytique, se réfère à l’analyse reposant sur le postulat de l’autonomie relative de l’État (Cardinal et Sonntag, 2016). Il s’agit de prendre en compte les normes et schémas institutionnels se développant dans le cadre des pratiques étatiques, dans l’analyse de l’élaboration de ses politiques publiques. En outre, le prisme de la tradition étatique, comme cadre d’analyse de la LLA, permet de considérer la manière dont les choix politiques sont réalisés. La tradition fédéraliste canadienne, par exemple, permet de comprendre la coexistence de différentes politiques linguistiques selon les paliers de gouvernement (Cardinal et Sonntag, 2016).</w:t>
      </w:r>
    </w:p>
    <w:p w14:paraId="538101C1" w14:textId="77777777" w:rsidR="00164C97" w:rsidRDefault="00164C97">
      <w:pPr>
        <w:spacing w:after="0" w:line="480" w:lineRule="auto"/>
        <w:ind w:firstLine="708"/>
        <w:jc w:val="both"/>
        <w:rPr>
          <w:rFonts w:ascii="Times New Roman" w:eastAsia="Times New Roman" w:hAnsi="Times New Roman" w:cs="Times New Roman"/>
          <w:sz w:val="24"/>
          <w:szCs w:val="24"/>
        </w:rPr>
      </w:pPr>
    </w:p>
    <w:p w14:paraId="172D3C0E" w14:textId="77777777" w:rsidR="00164C97" w:rsidRDefault="00000000">
      <w:pPr>
        <w:pStyle w:val="Subtitle"/>
        <w:spacing w:after="0" w:line="360" w:lineRule="auto"/>
        <w:jc w:val="both"/>
        <w:rPr>
          <w:rFonts w:ascii="Crimson Text" w:eastAsia="Crimson Text" w:hAnsi="Crimson Text" w:cs="Crimson Text"/>
          <w:b/>
          <w:bCs/>
          <w:sz w:val="40"/>
          <w:szCs w:val="40"/>
        </w:rPr>
      </w:pPr>
      <w:bookmarkStart w:id="3" w:name="_kcly9panxk3r" w:colFirst="0" w:colLast="0"/>
      <w:bookmarkEnd w:id="3"/>
      <w:r>
        <w:rPr>
          <w:rFonts w:ascii="Crimson Text" w:eastAsia="Crimson Text" w:hAnsi="Crimson Text" w:cs="Crimson Text"/>
          <w:b/>
          <w:bCs/>
          <w:sz w:val="40"/>
          <w:szCs w:val="40"/>
        </w:rPr>
        <w:t>Analyse de la Loi sur les Langues Autochtones</w:t>
      </w:r>
    </w:p>
    <w:p w14:paraId="3D65B0FD" w14:textId="77777777" w:rsidR="00164C97"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i/>
          <w:iCs/>
          <w:color w:val="A0504F"/>
          <w:sz w:val="28"/>
          <w:szCs w:val="28"/>
        </w:rPr>
        <w:t>Le contexte constitutif des territoires institutionnels</w:t>
      </w:r>
    </w:p>
    <w:p w14:paraId="0143B3D4" w14:textId="77777777" w:rsidR="00164C97" w:rsidRDefault="00000000">
      <w:pPr>
        <w:spacing w:after="0"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rédaction d’une loi linguistique ne peut se faire sans l’application du cadre de la tradition étatique au régime linguistique décrit dans la loi. Le cadre d’analyse proposé par Albaugh et ses collègues (2024) permet de mettre en avant la façon dont le contexte constitutif des politiques linguistiques d’un gouvernement influence les politiques publiques (Albaugh et al 2024, 12). Dans cet esprit, le cadre normatif de la loi, concernant les mesures de développement institutionnelles, s’ancre dans le contexte constitutif des traditions étatiques canadiennes, qui favorisent l’aménagement des langues coloniales, le français et l’anglais, à travers la construction d’institutions et d’espaces. </w:t>
      </w:r>
    </w:p>
    <w:p w14:paraId="1D567E4C" w14:textId="77777777" w:rsidR="00164C97" w:rsidRDefault="00000000">
      <w:pPr>
        <w:spacing w:after="0"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Ces résultats politiques prennent place dans le contexte qui mène d’abord aux premières versions de la Loi sur les langues officielles (LLO) en 1969, et mettent ainsi en avant les principes normatifs qui guident les actions étatiques canadiennes en matière de langues minoritaires. </w:t>
      </w:r>
      <w:r>
        <w:rPr>
          <w:rFonts w:ascii="Times New Roman" w:eastAsia="Times New Roman" w:hAnsi="Times New Roman" w:cs="Times New Roman"/>
          <w:sz w:val="24"/>
          <w:szCs w:val="24"/>
        </w:rPr>
        <w:lastRenderedPageBreak/>
        <w:t xml:space="preserve">L’aménagement du statut du français, ainsi que le développement de celui-ci au sein des institutions fédérales, dans le but d’atteindre une égalité réelle avec l’anglais, s’inscrivent dans le contexte du compromis des langues officielles coloniales et peuvent être perçus comme les principes normatifs qui guident les politiques linguistiques canadiennes. Ces principes normatifs, avec le temps, sont adoptés par les pratiques institutionnelles et ainsi dirigent les régimes linguistiques reflétant les pratiques et les conceptions du langage de l’État et de ses populations (Albaugh et al 2024, 13). Il faut ainsi comprendre l’émergence de la LLA, et son inclination vers une territorialité dynamique des langues autochtones, comme étant insérés dans le contexte constitutif plus large qui forme la tradition étatique canadienne en matière de politique linguistique. Les recours aux espaces, incités dans la LLO, agissent comme un paramètre institutionnel qui contraint la LLA à suivre cette même logique. Ainsi, la LLA s’inscrit dans une continuité étatique qui vise à assurer le développement des politiques linguistiques selon des principes de territorialité dynamique, ancrés dans les principes normatifs des politiques canadiennes et fondés sur une tradition étatique héritée du contexte constitutif des langues officielles. </w:t>
      </w:r>
    </w:p>
    <w:p w14:paraId="1A37D885" w14:textId="77777777" w:rsidR="00164C97" w:rsidRDefault="00000000">
      <w:pPr>
        <w:spacing w:after="0"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Cela pose toutefois différentes questions quant à la capacité de développer des contextes et cadres de protection des langues autochtones en se basant sur des concepts et des pratiques implantés par des puissances coloniales. En effet, si les logiques des traditions étatiques canadiennes sont ancrées dans les pratiques politiques occidentales, leurs applications concrètes aux langues autochtones, telles qu’une reconnaissance au niveau fédéral, risquent de reproduire des catégories conceptuelles propres à l’État tel qu’il est compris par les logiques occidentales et coloniales. Cela questionne donc la validité et la pertinence d’essayer de catégoriser les langues </w:t>
      </w:r>
      <w:r>
        <w:rPr>
          <w:rFonts w:ascii="Times New Roman" w:eastAsia="Times New Roman" w:hAnsi="Times New Roman" w:cs="Times New Roman"/>
          <w:sz w:val="24"/>
          <w:szCs w:val="24"/>
        </w:rPr>
        <w:lastRenderedPageBreak/>
        <w:t xml:space="preserve">autochtones et les dynamiques actuelles en utilisant des cadres empruntés aux logiques coloniales pour répondre aux besoins des communautés autochtones canadiennes. </w:t>
      </w:r>
    </w:p>
    <w:p w14:paraId="6B7A1A0D" w14:textId="77777777" w:rsidR="00164C97" w:rsidRDefault="00164C97">
      <w:pPr>
        <w:spacing w:after="0" w:line="480" w:lineRule="auto"/>
        <w:ind w:firstLine="708"/>
        <w:jc w:val="both"/>
        <w:rPr>
          <w:rFonts w:ascii="Times New Roman" w:eastAsia="Times New Roman" w:hAnsi="Times New Roman" w:cs="Times New Roman"/>
          <w:sz w:val="24"/>
          <w:szCs w:val="24"/>
        </w:rPr>
      </w:pPr>
    </w:p>
    <w:p w14:paraId="464661F7" w14:textId="77777777" w:rsidR="00164C97"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i/>
          <w:iCs/>
          <w:color w:val="A0504F"/>
          <w:sz w:val="28"/>
          <w:szCs w:val="28"/>
        </w:rPr>
        <w:t>Problèmes conceptuels de la LLA dans les perspectives de la tradition étatique et du PTLD</w:t>
      </w:r>
    </w:p>
    <w:p w14:paraId="15291EEB" w14:textId="77777777" w:rsidR="00164C97" w:rsidRDefault="00000000">
      <w:pPr>
        <w:spacing w:after="0" w:line="480" w:lineRule="auto"/>
        <w:ind w:firstLine="720"/>
        <w:jc w:val="both"/>
        <w:rPr>
          <w:rFonts w:ascii="Times New Roman" w:eastAsia="Times New Roman" w:hAnsi="Times New Roman" w:cs="Times New Roman"/>
          <w:i/>
          <w:iCs/>
          <w:color w:val="A0504F"/>
          <w:sz w:val="24"/>
          <w:szCs w:val="24"/>
        </w:rPr>
      </w:pPr>
      <w:r>
        <w:rPr>
          <w:rFonts w:ascii="Times New Roman" w:eastAsia="Times New Roman" w:hAnsi="Times New Roman" w:cs="Times New Roman"/>
          <w:b/>
          <w:bCs/>
          <w:i/>
          <w:iCs/>
          <w:color w:val="A0504F"/>
          <w:sz w:val="24"/>
          <w:szCs w:val="24"/>
        </w:rPr>
        <w:t>Aspect préliminaire de la LLA</w:t>
      </w:r>
    </w:p>
    <w:p w14:paraId="6593DD35" w14:textId="77777777" w:rsidR="00164C97" w:rsidRDefault="00000000">
      <w:pPr>
        <w:spacing w:after="0"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Malgré ce contexte constitutif, la LLA se présente comme une loi que l’on peut encore considérer comme préliminaire, ancrée dans les fondements normatifs, de la réconciliation et de la hausse des demandes des communautés linguistiques minoritaires dans lequel elle émerge. Comparée aux avancées de la LLO, qui a été revue</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cinq fois, la LLA de 2019 est une première version tentant d’aménager le statut des langues autochtones et d’établir un cadre pour assurer leur vitalité et leur promotion dans la vie quotidienne et culturelle canadienne. L’aspect préliminaire de la loi, ainsi que le contexte normatif dans lequel elle est érigée, présentent plusieurs points de discorde conceptuels qui peuvent entraver la capacité de la loi à atteindre les objectifs qu’elle établit.</w:t>
      </w:r>
    </w:p>
    <w:p w14:paraId="749A312A" w14:textId="77777777" w:rsidR="00164C97" w:rsidRDefault="00000000">
      <w:pPr>
        <w:spacing w:after="0"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Premièrement, d’un point de vue linguistique, la LLA reste un document peu contraignant, écrit dans un langage incitateur plutôt que rigide. L’utilisation de verbes comme « pouvoir faire », ou des tournures rendant les actions non-obligatoires, telles que « s’il en a la capacité », ainsi que le manque de précision des mesures recommandées dans la loi, peuvent entraver la mise en place de mécanismes de protection des langues (LLA 2019, 10.1). Cela laisse une marge d’interprétation aux acteurs et peut retarder le développement des services que la loi cherche à promouvoir, notamment en raison de l’absence de mécanismes de contrôle s’assurant de l’application des recommandations de la loi. </w:t>
      </w:r>
    </w:p>
    <w:p w14:paraId="5A5CFC36" w14:textId="77777777" w:rsidR="00164C97" w:rsidRDefault="00000000">
      <w:pPr>
        <w:spacing w:after="0"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Ces limites quant à l’interprétation de la loi semblent ainsi bénéficier aux pouvoirs gouvernementaux au détriment des capacités des peuples autochtones à agir directement. En effet, cela permet aux autorités fédérales  d’agir de manière discrétionnaire en ce qui concerne les actions concrètes pouvant être entreprises.. La loi ne rend aucune action obligatoire notamment l’intégration de services en langues autochtones (LLA 2019, art. 10.1), ce qui peut, à long terme, limiter leur insertion dans les pratiques politiques canadiennes.  Le manque de coercition présent dans la LLA peut ainsi reproduire des logiques assimilatrices et continuer à invisibiliser les langues autochtones, en particulier au sein des fonctions publiques et des services fédéraux, en ne reconnaissant aucune obligation de les intégrer et de les promouvoir dans les contextes politiques canadiens. Cela donne un aspect symbolique à la loi, sans pour autant garantir que ces recommandations puissent avoir un impact tangible. </w:t>
      </w:r>
    </w:p>
    <w:p w14:paraId="3C44894C" w14:textId="77777777" w:rsidR="00164C97" w:rsidRDefault="00164C97">
      <w:pPr>
        <w:spacing w:after="0" w:line="480" w:lineRule="auto"/>
        <w:ind w:firstLine="708"/>
        <w:jc w:val="both"/>
        <w:rPr>
          <w:rFonts w:ascii="Times New Roman" w:eastAsia="Times New Roman" w:hAnsi="Times New Roman" w:cs="Times New Roman"/>
          <w:sz w:val="24"/>
          <w:szCs w:val="24"/>
        </w:rPr>
      </w:pPr>
    </w:p>
    <w:p w14:paraId="2C53EEBE" w14:textId="77777777" w:rsidR="00164C97" w:rsidRDefault="00000000">
      <w:pPr>
        <w:spacing w:after="0" w:line="480" w:lineRule="auto"/>
        <w:ind w:firstLine="720"/>
        <w:jc w:val="both"/>
        <w:rPr>
          <w:rFonts w:ascii="Times New Roman" w:eastAsia="Times New Roman" w:hAnsi="Times New Roman" w:cs="Times New Roman"/>
          <w:i/>
          <w:iCs/>
          <w:color w:val="A0504F"/>
          <w:sz w:val="24"/>
          <w:szCs w:val="24"/>
        </w:rPr>
      </w:pPr>
      <w:r>
        <w:rPr>
          <w:rFonts w:ascii="Times New Roman" w:eastAsia="Times New Roman" w:hAnsi="Times New Roman" w:cs="Times New Roman"/>
          <w:b/>
          <w:bCs/>
          <w:i/>
          <w:iCs/>
          <w:color w:val="A0504F"/>
          <w:sz w:val="24"/>
          <w:szCs w:val="24"/>
        </w:rPr>
        <w:t>Enjeux du fédéralisme.</w:t>
      </w:r>
    </w:p>
    <w:p w14:paraId="2AFAC977" w14:textId="77777777" w:rsidR="00164C97" w:rsidRDefault="00000000">
      <w:pPr>
        <w:spacing w:after="0"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 contexte constitutif du Canada repose sur les compromis entre les langues coloniales en mettant à l’écart les langues autochtones, dont les politiques visaient l’assimilation, jusqu’au contexte politique de la réconciliation. Le fédéralisme canadien, dans lequel la loi prend forme, s’inscrit dans cette tradition du compromis, ce qui restreint les capacités de redistribution des pouvoirs législatifs qui permettraient aux populations autochtones de s’autogouverner et de mettre en œuvre les services dont elles ont besoin pour assurer la vitalité de leurs langues. Selon Huron, cette dynamique implique que la redistribution de l’autorité fédérale, en matière de gestion linguistique, se fait au niveau provincial sans coordination, créant une confusion juridique et politique quant aux responsabilités des institutions provinciales en matière de législation des langues autochtones (Huron 2024, 218). Cette situation peut notamment se traduire par des </w:t>
      </w:r>
      <w:r>
        <w:rPr>
          <w:rFonts w:ascii="Times New Roman" w:eastAsia="Times New Roman" w:hAnsi="Times New Roman" w:cs="Times New Roman"/>
          <w:sz w:val="24"/>
          <w:szCs w:val="24"/>
        </w:rPr>
        <w:lastRenderedPageBreak/>
        <w:t xml:space="preserve">difficultés à acquérir les fonds nécessaires au développement de services, par exemple des programmes scolaires ou des centres culturels. En conséquence, cette limite inhérente au fédéralisme canadien et à la tradition étatique complexifie l’application de la LLA, notamment au niveau des pouvoirs provinciaux. La loi s’insère dans un contexte constitutif qui ne lui est pas favorable, dont la tradition n’établit pas de ligne directrice qui faciliterait les transferts de pouvoirs, d’investissement et de services du niveau fédéral au provincial, pour enfin servir les communautés autochtones. Le fédéralisme peut donc apparaître comme un frein à la reconnaissance et à l'habilitation  des langues autochtones et leurs locuteurs dans le cadre de l’application de la LLA, puisqu’il entrave l’organisation des ressources budgétaires, des acteurs concernés et des services qui cherchent à revitaliser et protéger les langues autochtones. </w:t>
      </w:r>
    </w:p>
    <w:p w14:paraId="720F96EB" w14:textId="77777777" w:rsidR="00164C97" w:rsidRDefault="00000000">
      <w:pPr>
        <w:spacing w:after="0"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plus, selon le cadre théorique du PTLD, la LLA se présente comme un outil normatif visant à mettre de l’avant les besoins politiques pour la revitalisation des langues autochtones. Les dispositions institutionnelles dominent les recommandations formulées dans la loi, lesquelles cherchent à développer différentes institutions qui permettraient d’assurer la vitalité de ces langues. Il est ainsi possible de concevoir la loi comme une tentative d’établir un cadre permettant aux langues autochtones d’atteindre une certaine institutionnalisation des langues grâce au développement d’espaces répondant à une pluralité de besoins.</w:t>
      </w:r>
    </w:p>
    <w:p w14:paraId="5B1DBA84" w14:textId="77777777" w:rsidR="00164C97" w:rsidRDefault="00000000">
      <w:pPr>
        <w:spacing w:after="0"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section 5, qui énonce les objets de la loi, exprime cette volonté d’encourager les programmes éducatifs, notamment par le soutien à des activités d’apprentissage linguistique et culturel (LLA 2019, art. 5). Dans une conception territoriale dynamique, ces recommandations normatives doivent être envisagées comme permettant aux langues autochtones d’être utilisées dans divers secteurs afin d’en assurer la vitalité. </w:t>
      </w:r>
    </w:p>
    <w:p w14:paraId="1E89519E" w14:textId="77777777" w:rsidR="00164C97" w:rsidRDefault="00000000">
      <w:pPr>
        <w:spacing w:after="0"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La section 10 de la LLA met également en avant cette volonté de développer des services institutionnels en langues autochtones, en incitant les institutions fédérales à répondre à ce besoin lorsqu’elles en ont la capacité (LLA 2019, art. 10.1). Cela renvoie à la volonté d’aménager le statut des langues autochtones en les érigeant au stade de langues institutionnelles fédérales, un objectif qui ne peut toutefois être obtenu que par le développement d’espaces, au sein des institutions fédérales, facilitant le recours des populations aux langues autochtones. </w:t>
      </w:r>
    </w:p>
    <w:p w14:paraId="150CD0F3" w14:textId="77777777" w:rsidR="00164C97" w:rsidRDefault="00000000">
      <w:pPr>
        <w:spacing w:after="0"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Les espaces, désignant les collectivités dans leur ensemble, cherchent donc à inciter une utilisation formelle ou informelle des langues minoritaires en offrant une multitude de différents services culturels, sociaux et politiques. Cette démarche cherche à normaliser l’usage des langues autochtones, surtout dans la vie quotidienne, et à renforcer une perception positive de ces langues auprès des populations canadiennes, ce qui contribue à légitimer le rôle de ces langues pour le Canada et de ses différentes cultures.  </w:t>
      </w:r>
    </w:p>
    <w:p w14:paraId="27B8B6BF" w14:textId="77777777" w:rsidR="00164C97" w:rsidRDefault="00164C97">
      <w:pPr>
        <w:spacing w:after="0" w:line="480" w:lineRule="auto"/>
        <w:jc w:val="both"/>
        <w:rPr>
          <w:rFonts w:ascii="Times New Roman" w:eastAsia="Times New Roman" w:hAnsi="Times New Roman" w:cs="Times New Roman"/>
          <w:sz w:val="24"/>
          <w:szCs w:val="24"/>
        </w:rPr>
      </w:pPr>
    </w:p>
    <w:p w14:paraId="74478743" w14:textId="77777777" w:rsidR="00164C97" w:rsidRDefault="00000000">
      <w:pPr>
        <w:spacing w:after="0" w:line="480" w:lineRule="auto"/>
        <w:ind w:firstLine="720"/>
        <w:jc w:val="both"/>
        <w:rPr>
          <w:rFonts w:ascii="Times New Roman" w:eastAsia="Times New Roman" w:hAnsi="Times New Roman" w:cs="Times New Roman"/>
          <w:i/>
          <w:iCs/>
          <w:color w:val="7A0808"/>
          <w:sz w:val="24"/>
          <w:szCs w:val="24"/>
        </w:rPr>
      </w:pPr>
      <w:r>
        <w:rPr>
          <w:rFonts w:ascii="Times New Roman" w:eastAsia="Times New Roman" w:hAnsi="Times New Roman" w:cs="Times New Roman"/>
          <w:b/>
          <w:bCs/>
          <w:i/>
          <w:iCs/>
          <w:color w:val="7A0808"/>
          <w:sz w:val="24"/>
          <w:szCs w:val="24"/>
        </w:rPr>
        <w:t xml:space="preserve">Complexité du développement d’espace. </w:t>
      </w:r>
    </w:p>
    <w:p w14:paraId="771D1949" w14:textId="77777777" w:rsidR="00164C97" w:rsidRDefault="00000000">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Une autre issue de la LLA réside dans le fait que le développement d’espaces, conçus comme des territoires non rigides, vise à répondre à une répartition non concentrée des populations autochtones, laquelle empêche une territorialité au sens strict du terme. En effet, pour assurer sa vitalité et son maintien, toute langue nécessite des espaces lui permettant d’être utilisée de différentes manières; ces espaces permettraient de diversifier les usages quotidiennes des langues autochtones, que ce soit dans des écoles, des commerces ou des services publics. </w:t>
      </w:r>
    </w:p>
    <w:p w14:paraId="326000C7" w14:textId="77777777" w:rsidR="00164C97" w:rsidRDefault="00000000">
      <w:pPr>
        <w:spacing w:after="0"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Pourtant, bien que la LLA encourage une institutionnalisation des langues et la création de services, elle n'incite aucunement à une complétude institutionnelle qui permettrait de garantir la survie des langues autochtones. La LLA ne prescrit en effet aucune recommandation quant au </w:t>
      </w:r>
      <w:r>
        <w:rPr>
          <w:rFonts w:ascii="Times New Roman" w:eastAsia="Times New Roman" w:hAnsi="Times New Roman" w:cs="Times New Roman"/>
          <w:sz w:val="24"/>
          <w:szCs w:val="24"/>
        </w:rPr>
        <w:lastRenderedPageBreak/>
        <w:t>nombre d’institutions à mettre  en place ni au type d’institutions à développer. Les espaces étant d’autant plus compliqués à instaurer si les populations concernées se répandent de manière sporadique sur de vastes territoires, l’absence de complétude institutionnelle risque de ne pas assurer une utilisation concrète des langues dans divers contextes, mais plutôt de les réduire à quelques situations limitées, ce qui contraindrait une revitalisation complète des langues. Par exemple, si une province décidait de mettre en place des programmes d’immersion dans certaines langues autochtones sur des territoires précis sans développer d’autres espaces utilisant les langues autochtones en dehors du milieu scolaire, cela pourrait avoir comme effet de réduire les langues à un seul contexte scolaire sans permettre leur utilisation dans des situations variées.</w:t>
      </w:r>
    </w:p>
    <w:p w14:paraId="280AA47E" w14:textId="77777777" w:rsidR="00164C97" w:rsidRDefault="00000000">
      <w:pPr>
        <w:spacing w:after="0"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Les populations autochtones sont de plus en plus dispersées au Canada, de sorte que le manque de concentration des différentes communautés complexifie le développement d’une panoplie d’institutions visant à répondre à des besoins variés. Certaines langues sont réparties sur plus de trois provinces, parfois même à l’échelle de l’entièreté du territoire, ce qui, compte tenu du manque de coordination interprovinciale et du concept de complétude institutionnelle, complexifie largement la possibilité de développer des institutions, notamment en matière d'éducation. </w:t>
      </w:r>
    </w:p>
    <w:p w14:paraId="3B553337" w14:textId="77777777" w:rsidR="00164C97" w:rsidRDefault="00000000">
      <w:pPr>
        <w:spacing w:after="0"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effet, la conception de programmes d’immersion ne peut se faire qu’en fonction de la population locutrice présente dans les régions concernées ; en l’absence d’un nombre de locuteurs, la mise en place de programmes scolaires semble impossible puisque ceux-ci risqueraient de ne pas être utilisés. Les espaces fonctionnants autour de la complétude qu’ils exercent, la dispersion des communautés autochtones ralentit la capacité de développer les espaces nécessaires et condamne, en quelque sorte, les langues autochtones à être moins utilisées car le nombre d’institutions les promouvant demeurant restreint.</w:t>
      </w:r>
    </w:p>
    <w:p w14:paraId="4E9A9CB9" w14:textId="77777777" w:rsidR="00164C97" w:rsidRDefault="00164C97">
      <w:pPr>
        <w:spacing w:after="0" w:line="480" w:lineRule="auto"/>
        <w:ind w:firstLine="708"/>
        <w:jc w:val="both"/>
        <w:rPr>
          <w:rFonts w:ascii="Times New Roman" w:eastAsia="Times New Roman" w:hAnsi="Times New Roman" w:cs="Times New Roman"/>
          <w:sz w:val="24"/>
          <w:szCs w:val="24"/>
        </w:rPr>
      </w:pPr>
    </w:p>
    <w:p w14:paraId="1C7B3396" w14:textId="77777777" w:rsidR="00164C97" w:rsidRDefault="00000000">
      <w:pPr>
        <w:spacing w:after="0" w:line="480" w:lineRule="auto"/>
        <w:jc w:val="both"/>
        <w:rPr>
          <w:rFonts w:ascii="Times New Roman" w:eastAsia="Times New Roman" w:hAnsi="Times New Roman" w:cs="Times New Roman"/>
          <w:i/>
          <w:iCs/>
          <w:color w:val="7A0808"/>
          <w:sz w:val="24"/>
          <w:szCs w:val="24"/>
        </w:rPr>
      </w:pPr>
      <w:r>
        <w:rPr>
          <w:rFonts w:ascii="Times New Roman" w:eastAsia="Times New Roman" w:hAnsi="Times New Roman" w:cs="Times New Roman"/>
          <w:b/>
          <w:bCs/>
          <w:i/>
          <w:iCs/>
          <w:color w:val="7A0808"/>
          <w:sz w:val="24"/>
          <w:szCs w:val="24"/>
        </w:rPr>
        <w:t xml:space="preserve">Figure 1 </w:t>
      </w:r>
    </w:p>
    <w:p w14:paraId="3D76B4D2" w14:textId="77777777" w:rsidR="00164C97" w:rsidRDefault="00000000">
      <w:pPr>
        <w:spacing w:after="0" w:line="48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Subdivisions de recensement avec au moins 100 personnes qui parlent une langue autochtone assez bien pour tenir une conversation, (Statistique Canada, 2021)</w:t>
      </w:r>
    </w:p>
    <w:p w14:paraId="0E03A007" w14:textId="77777777" w:rsidR="00164C97" w:rsidRDefault="00000000">
      <w:pPr>
        <w:spacing w:after="0" w:line="48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drawing>
          <wp:inline distT="0" distB="0" distL="0" distR="0" wp14:anchorId="78C56E5D" wp14:editId="4927DEA5">
            <wp:extent cx="2833411" cy="3258424"/>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833411" cy="3258424"/>
                    </a:xfrm>
                    <a:prstGeom prst="rect">
                      <a:avLst/>
                    </a:prstGeom>
                    <a:ln/>
                  </pic:spPr>
                </pic:pic>
              </a:graphicData>
            </a:graphic>
          </wp:inline>
        </w:drawing>
      </w:r>
    </w:p>
    <w:p w14:paraId="3C1EE7D0" w14:textId="77777777" w:rsidR="00164C97" w:rsidRDefault="00000000">
      <w:pPr>
        <w:spacing w:after="0"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 concept d'espace ne se limite toutefois pas aux institutions concrètes et physiques. Pour faire face à l’enjeu de la dispersion des communautés, il est possible d’envisager le développement d’espaces numériques, tels que des cours de langues en ligne, des sites culturels ou d’autre plateformes, qui permettrait aux populations de faire usage de leur langue et de se rassembler afin de contrer les effets de cette dispersion. </w:t>
      </w:r>
    </w:p>
    <w:p w14:paraId="08AFE40B" w14:textId="77777777" w:rsidR="00164C97" w:rsidRDefault="00164C97">
      <w:pPr>
        <w:spacing w:after="0" w:line="480" w:lineRule="auto"/>
        <w:rPr>
          <w:rFonts w:ascii="Times New Roman" w:eastAsia="Times New Roman" w:hAnsi="Times New Roman" w:cs="Times New Roman"/>
          <w:b/>
          <w:bCs/>
          <w:sz w:val="24"/>
          <w:szCs w:val="24"/>
        </w:rPr>
      </w:pPr>
    </w:p>
    <w:p w14:paraId="5ECC266D" w14:textId="77777777" w:rsidR="00164C97" w:rsidRDefault="00164C97">
      <w:pPr>
        <w:spacing w:after="0" w:line="480" w:lineRule="auto"/>
        <w:jc w:val="both"/>
        <w:rPr>
          <w:rFonts w:ascii="Times New Roman" w:eastAsia="Times New Roman" w:hAnsi="Times New Roman" w:cs="Times New Roman"/>
          <w:b/>
          <w:bCs/>
          <w:sz w:val="24"/>
          <w:szCs w:val="24"/>
        </w:rPr>
      </w:pPr>
    </w:p>
    <w:p w14:paraId="58EB18C9" w14:textId="77777777" w:rsidR="00164C97" w:rsidRDefault="00000000">
      <w:pPr>
        <w:spacing w:after="0" w:line="480" w:lineRule="auto"/>
        <w:ind w:firstLine="720"/>
        <w:jc w:val="both"/>
        <w:rPr>
          <w:rFonts w:ascii="Times New Roman" w:eastAsia="Times New Roman" w:hAnsi="Times New Roman" w:cs="Times New Roman"/>
          <w:b/>
          <w:bCs/>
          <w:color w:val="7A0808"/>
          <w:sz w:val="24"/>
          <w:szCs w:val="24"/>
        </w:rPr>
      </w:pPr>
      <w:r>
        <w:rPr>
          <w:rFonts w:ascii="Times New Roman" w:eastAsia="Times New Roman" w:hAnsi="Times New Roman" w:cs="Times New Roman"/>
          <w:b/>
          <w:bCs/>
          <w:color w:val="7A0808"/>
          <w:sz w:val="24"/>
          <w:szCs w:val="24"/>
        </w:rPr>
        <w:t>Égalité formelle des langues autochtones.</w:t>
      </w:r>
    </w:p>
    <w:p w14:paraId="4E22B428" w14:textId="77777777" w:rsidR="00164C97" w:rsidRDefault="00000000">
      <w:pPr>
        <w:spacing w:after="0"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Finalement, la LLA ne fait pas de distinction entre les différentes langues autochtones qu’elle vise à protéger et à promouvoir, et fait usage de la terminologie générique de « langue </w:t>
      </w:r>
      <w:r>
        <w:rPr>
          <w:rFonts w:ascii="Times New Roman" w:eastAsia="Times New Roman" w:hAnsi="Times New Roman" w:cs="Times New Roman"/>
          <w:sz w:val="24"/>
          <w:szCs w:val="24"/>
        </w:rPr>
        <w:lastRenderedPageBreak/>
        <w:t xml:space="preserve">autochtone » sans nécessairement évoquer les nuances qui existent au sein de ces langues et communautés. En reprenant le concept du « je t’aime, je t’étouffe » de Laponce, qui décrit la manière dont les langues dominantes langues minoritaires lorsqu’elles cohabitent sur un même territoire (Laponce 2001, 485), il est possible de concevoir une telle dynamique au sein des différentes langues autochtones. La loi omet en effet de faire la distinction entre les langues que l’on peut considérer comme stables, dont le nombre de locuteurs permet d’assumer le maintien comme c’est le cas du cree, de l’inuktitut et de l'ojibwé qui possèdent chacune plus de 20 000 locuteurs, et les langues qui possèdent parfois de moins d’un millier de locuteurs, comme le kutenai, qui n’est aujourd’hui parlée que par 170 personnes (Radio-Canada, 2018). Cette absence de distinction pose un problème d’universalisation des langues et démontre une logique égalité formelle assumée entre celles-ci, sans prise en compte des besoins différenciés des communautés. On peut imaginer que certaines langues en voie d’érosion n’ont peut-être pas la même volonté d'institutionnaliser leur langue dans les institutions politiques que des langues comme l’inuktitut qui a été officialisé au Nunavut. Ainsi, en englobant les langues autochtones sous une terminologie ne faisant pas les distinctions nécessaires, la LLA assure en quelque sorte la vitalité des langues stables, mais peut compromettre la survie de langues minoritaires au sein du groupe qu’elle homogénéise. </w:t>
      </w:r>
    </w:p>
    <w:p w14:paraId="246633E8" w14:textId="77777777" w:rsidR="00164C97" w:rsidRDefault="00164C97">
      <w:pPr>
        <w:spacing w:after="0" w:line="480" w:lineRule="auto"/>
        <w:ind w:firstLine="708"/>
        <w:jc w:val="both"/>
        <w:rPr>
          <w:rFonts w:ascii="Times New Roman" w:eastAsia="Times New Roman" w:hAnsi="Times New Roman" w:cs="Times New Roman"/>
          <w:sz w:val="24"/>
          <w:szCs w:val="24"/>
        </w:rPr>
      </w:pPr>
    </w:p>
    <w:p w14:paraId="7FE208CB" w14:textId="77777777" w:rsidR="00164C97" w:rsidRDefault="00164C97">
      <w:pPr>
        <w:spacing w:after="0" w:line="480" w:lineRule="auto"/>
        <w:ind w:firstLine="708"/>
        <w:jc w:val="both"/>
        <w:rPr>
          <w:rFonts w:ascii="Times New Roman" w:eastAsia="Times New Roman" w:hAnsi="Times New Roman" w:cs="Times New Roman"/>
          <w:sz w:val="24"/>
          <w:szCs w:val="24"/>
        </w:rPr>
      </w:pPr>
    </w:p>
    <w:p w14:paraId="1D7858D2" w14:textId="77777777" w:rsidR="00164C97" w:rsidRDefault="00164C97">
      <w:pPr>
        <w:spacing w:after="0" w:line="480" w:lineRule="auto"/>
        <w:ind w:firstLine="708"/>
        <w:jc w:val="both"/>
        <w:rPr>
          <w:rFonts w:ascii="Times New Roman" w:eastAsia="Times New Roman" w:hAnsi="Times New Roman" w:cs="Times New Roman"/>
          <w:sz w:val="24"/>
          <w:szCs w:val="24"/>
        </w:rPr>
      </w:pPr>
    </w:p>
    <w:p w14:paraId="2CF43A8B" w14:textId="77777777" w:rsidR="00164C97" w:rsidRDefault="00000000">
      <w:pPr>
        <w:pStyle w:val="Subtitle"/>
        <w:spacing w:after="0" w:line="360" w:lineRule="auto"/>
        <w:jc w:val="both"/>
        <w:rPr>
          <w:rFonts w:ascii="Times New Roman" w:eastAsia="Times New Roman" w:hAnsi="Times New Roman" w:cs="Times New Roman"/>
        </w:rPr>
      </w:pPr>
      <w:bookmarkStart w:id="4" w:name="_y1vq3148b441" w:colFirst="0" w:colLast="0"/>
      <w:bookmarkEnd w:id="4"/>
      <w:r>
        <w:rPr>
          <w:rFonts w:ascii="Crimson Text" w:eastAsia="Crimson Text" w:hAnsi="Crimson Text" w:cs="Crimson Text"/>
          <w:b/>
          <w:bCs/>
          <w:sz w:val="40"/>
          <w:szCs w:val="40"/>
        </w:rPr>
        <w:t>Conclusion</w:t>
      </w:r>
    </w:p>
    <w:p w14:paraId="3076C090" w14:textId="77777777" w:rsidR="00164C97" w:rsidRDefault="00000000">
      <w:pPr>
        <w:spacing w:after="0"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Loi sur les langues autochtones représente finalement une avancée conséquente pour la protection des langues minoritaires au Canada. On peut l’appréhender comme une rupture </w:t>
      </w:r>
      <w:r>
        <w:rPr>
          <w:rFonts w:ascii="Times New Roman" w:eastAsia="Times New Roman" w:hAnsi="Times New Roman" w:cs="Times New Roman"/>
          <w:sz w:val="24"/>
          <w:szCs w:val="24"/>
        </w:rPr>
        <w:lastRenderedPageBreak/>
        <w:t xml:space="preserve">contextuelle qui permet, dans le sillage de la réconciliation, de mettre en avant les droits des peuples autochtones du Canada, au-delà de la tradition du bilinguisme qui fondait jusqu’alors les politiques linguistiques canadiennes. Bien que la loi soit encore assez préliminaire, ses objectifs et ses modes d’action qui cherchent à protéger les langues autochtones, notamment en matière de revitalisation et d’habilitation, offrent une nouvelle perspective sur le développement des politiques de protection des langues minoritaires. Ancrée dans le contexte constitutif de la tradition étatique canadienne, la LLA suit toutefois les chemins institutionnels normatifs en matière de politiques linguistiques. </w:t>
      </w:r>
    </w:p>
    <w:p w14:paraId="56C61486" w14:textId="77777777" w:rsidR="00164C97" w:rsidRDefault="00000000">
      <w:pPr>
        <w:spacing w:after="0"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Une analyse de celle-ci selon le principe de la territorialité dynamique et de la tradition étatique met donc en lumière les façons dont les régimes linguistiques influencent les actions politiques, notamment les choix d’institutionnalisation des langues et le développement d’espaces. Cela présente également comment ces traditions peuvent restreindre le chemin vers une protection et une égalité réelle des langues. Le manque de nuance dans la catégorisation des langues, l’absence de distinction entre leurs statuts respectifs, mais aussi le contexte géographique de ces langues ne sont pas forcément pris en compte et agissent comme des facteurs pouvant ralentir la revitalisation et le maintien de ces langues. </w:t>
      </w:r>
    </w:p>
    <w:p w14:paraId="080E4C13" w14:textId="77777777" w:rsidR="00164C97" w:rsidRDefault="00000000">
      <w:pPr>
        <w:spacing w:after="0"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soi, malgré les avancées pertinentes de la LLA, certains de ses principes demeurent à approfondir afin d’assurer l’atteinte de ses objectifs. Il est possible d’assumer que cette loi est encore à un stade préliminaire et que des révisions permettront, avec le temps, de codifier différents aspects et spécificités des langues autochtones pour permettre de se diriger vers une égalité réelle de ses langues et une protection pérenne au sein des sociétés canadiennes.</w:t>
      </w:r>
    </w:p>
    <w:p w14:paraId="27891DE4" w14:textId="77777777" w:rsidR="00164C97" w:rsidRDefault="00164C97">
      <w:pPr>
        <w:spacing w:after="0" w:line="324" w:lineRule="auto"/>
        <w:ind w:left="880" w:hanging="440"/>
        <w:jc w:val="center"/>
        <w:rPr>
          <w:rFonts w:ascii="Times New Roman" w:eastAsia="Times New Roman" w:hAnsi="Times New Roman" w:cs="Times New Roman"/>
          <w:sz w:val="24"/>
          <w:szCs w:val="24"/>
          <w:highlight w:val="white"/>
        </w:rPr>
      </w:pPr>
    </w:p>
    <w:p w14:paraId="524C7504" w14:textId="77777777" w:rsidR="00164C97" w:rsidRDefault="00164C97">
      <w:pPr>
        <w:spacing w:after="0" w:line="324" w:lineRule="auto"/>
        <w:ind w:left="880" w:hanging="440"/>
        <w:jc w:val="center"/>
        <w:rPr>
          <w:rFonts w:ascii="Times New Roman" w:eastAsia="Times New Roman" w:hAnsi="Times New Roman" w:cs="Times New Roman"/>
          <w:sz w:val="24"/>
          <w:szCs w:val="24"/>
          <w:highlight w:val="white"/>
        </w:rPr>
      </w:pPr>
    </w:p>
    <w:p w14:paraId="5A31F557" w14:textId="77777777" w:rsidR="00164C97" w:rsidRDefault="00164C97">
      <w:pPr>
        <w:spacing w:after="0" w:line="324" w:lineRule="auto"/>
        <w:ind w:left="880" w:hanging="440"/>
        <w:jc w:val="center"/>
        <w:rPr>
          <w:rFonts w:ascii="Times New Roman" w:eastAsia="Times New Roman" w:hAnsi="Times New Roman" w:cs="Times New Roman"/>
          <w:sz w:val="24"/>
          <w:szCs w:val="24"/>
          <w:highlight w:val="white"/>
        </w:rPr>
      </w:pPr>
    </w:p>
    <w:p w14:paraId="499DF11B" w14:textId="77777777" w:rsidR="00164C97" w:rsidRDefault="00164C97">
      <w:pPr>
        <w:spacing w:after="0" w:line="324" w:lineRule="auto"/>
        <w:ind w:left="880" w:hanging="440"/>
        <w:jc w:val="center"/>
        <w:rPr>
          <w:rFonts w:ascii="Times New Roman" w:eastAsia="Times New Roman" w:hAnsi="Times New Roman" w:cs="Times New Roman"/>
          <w:sz w:val="24"/>
          <w:szCs w:val="24"/>
          <w:highlight w:val="white"/>
        </w:rPr>
      </w:pPr>
    </w:p>
    <w:p w14:paraId="4B37853B" w14:textId="77777777" w:rsidR="00164C97" w:rsidRDefault="00164C97">
      <w:pPr>
        <w:spacing w:after="0" w:line="324" w:lineRule="auto"/>
        <w:ind w:left="880" w:hanging="440"/>
        <w:jc w:val="center"/>
        <w:rPr>
          <w:rFonts w:ascii="Times New Roman" w:eastAsia="Times New Roman" w:hAnsi="Times New Roman" w:cs="Times New Roman"/>
          <w:sz w:val="24"/>
          <w:szCs w:val="24"/>
          <w:highlight w:val="white"/>
        </w:rPr>
      </w:pPr>
    </w:p>
    <w:p w14:paraId="2BFEFBE8" w14:textId="77777777" w:rsidR="00164C97" w:rsidRDefault="00164C97">
      <w:pPr>
        <w:spacing w:after="0" w:line="324" w:lineRule="auto"/>
        <w:ind w:left="880" w:hanging="440"/>
        <w:jc w:val="center"/>
        <w:rPr>
          <w:rFonts w:ascii="Times New Roman" w:eastAsia="Times New Roman" w:hAnsi="Times New Roman" w:cs="Times New Roman"/>
          <w:sz w:val="24"/>
          <w:szCs w:val="24"/>
          <w:highlight w:val="white"/>
        </w:rPr>
      </w:pPr>
    </w:p>
    <w:p w14:paraId="7012B417" w14:textId="77777777" w:rsidR="00164C97" w:rsidRDefault="00164C97">
      <w:pPr>
        <w:spacing w:after="0" w:line="324" w:lineRule="auto"/>
        <w:ind w:left="880" w:hanging="440"/>
        <w:jc w:val="center"/>
        <w:rPr>
          <w:rFonts w:ascii="Times New Roman" w:eastAsia="Times New Roman" w:hAnsi="Times New Roman" w:cs="Times New Roman"/>
          <w:sz w:val="24"/>
          <w:szCs w:val="24"/>
          <w:highlight w:val="white"/>
        </w:rPr>
      </w:pPr>
    </w:p>
    <w:p w14:paraId="1893DB22" w14:textId="77777777" w:rsidR="00164C97" w:rsidRDefault="00164C97">
      <w:pPr>
        <w:spacing w:after="0" w:line="324" w:lineRule="auto"/>
        <w:ind w:left="880" w:hanging="440"/>
        <w:jc w:val="center"/>
        <w:rPr>
          <w:rFonts w:ascii="Times New Roman" w:eastAsia="Times New Roman" w:hAnsi="Times New Roman" w:cs="Times New Roman"/>
          <w:sz w:val="24"/>
          <w:szCs w:val="24"/>
          <w:highlight w:val="white"/>
        </w:rPr>
      </w:pPr>
    </w:p>
    <w:p w14:paraId="7B4A55BB" w14:textId="77777777" w:rsidR="00164C97" w:rsidRDefault="00164C97">
      <w:pPr>
        <w:spacing w:after="0" w:line="324" w:lineRule="auto"/>
        <w:ind w:left="880" w:hanging="440"/>
        <w:jc w:val="center"/>
        <w:rPr>
          <w:rFonts w:ascii="Times New Roman" w:eastAsia="Times New Roman" w:hAnsi="Times New Roman" w:cs="Times New Roman"/>
          <w:sz w:val="24"/>
          <w:szCs w:val="24"/>
          <w:highlight w:val="white"/>
        </w:rPr>
      </w:pPr>
    </w:p>
    <w:p w14:paraId="6DC7D17B" w14:textId="77777777" w:rsidR="00164C97" w:rsidRDefault="00164C97">
      <w:pPr>
        <w:spacing w:after="0" w:line="324" w:lineRule="auto"/>
        <w:ind w:left="880" w:hanging="440"/>
        <w:jc w:val="center"/>
        <w:rPr>
          <w:rFonts w:ascii="Times New Roman" w:eastAsia="Times New Roman" w:hAnsi="Times New Roman" w:cs="Times New Roman"/>
          <w:sz w:val="24"/>
          <w:szCs w:val="24"/>
          <w:highlight w:val="white"/>
        </w:rPr>
      </w:pPr>
    </w:p>
    <w:p w14:paraId="25BC40C4" w14:textId="77777777" w:rsidR="00164C97" w:rsidRDefault="00164C97">
      <w:pPr>
        <w:spacing w:after="0" w:line="324" w:lineRule="auto"/>
        <w:ind w:left="880" w:hanging="440"/>
        <w:jc w:val="center"/>
        <w:rPr>
          <w:rFonts w:ascii="Times New Roman" w:eastAsia="Times New Roman" w:hAnsi="Times New Roman" w:cs="Times New Roman"/>
          <w:sz w:val="24"/>
          <w:szCs w:val="24"/>
          <w:highlight w:val="white"/>
        </w:rPr>
      </w:pPr>
    </w:p>
    <w:p w14:paraId="420D5407" w14:textId="77777777" w:rsidR="00164C97" w:rsidRDefault="00164C97">
      <w:pPr>
        <w:spacing w:after="0" w:line="324" w:lineRule="auto"/>
        <w:ind w:left="880" w:hanging="440"/>
        <w:jc w:val="center"/>
        <w:rPr>
          <w:rFonts w:ascii="Times New Roman" w:eastAsia="Times New Roman" w:hAnsi="Times New Roman" w:cs="Times New Roman"/>
          <w:sz w:val="24"/>
          <w:szCs w:val="24"/>
          <w:highlight w:val="white"/>
        </w:rPr>
      </w:pPr>
    </w:p>
    <w:p w14:paraId="145D6C8F" w14:textId="77777777" w:rsidR="00164C97" w:rsidRDefault="00164C97">
      <w:pPr>
        <w:spacing w:after="0" w:line="324" w:lineRule="auto"/>
        <w:ind w:left="880" w:hanging="440"/>
        <w:jc w:val="center"/>
        <w:rPr>
          <w:rFonts w:ascii="Times New Roman" w:eastAsia="Times New Roman" w:hAnsi="Times New Roman" w:cs="Times New Roman"/>
          <w:sz w:val="24"/>
          <w:szCs w:val="24"/>
          <w:highlight w:val="white"/>
        </w:rPr>
      </w:pPr>
    </w:p>
    <w:p w14:paraId="5F1A5F85" w14:textId="77777777" w:rsidR="00164C97" w:rsidRDefault="00164C97">
      <w:pPr>
        <w:spacing w:after="0" w:line="324" w:lineRule="auto"/>
        <w:ind w:left="880" w:hanging="440"/>
        <w:jc w:val="center"/>
        <w:rPr>
          <w:rFonts w:ascii="Times New Roman" w:eastAsia="Times New Roman" w:hAnsi="Times New Roman" w:cs="Times New Roman"/>
          <w:sz w:val="24"/>
          <w:szCs w:val="24"/>
          <w:highlight w:val="white"/>
        </w:rPr>
      </w:pPr>
    </w:p>
    <w:p w14:paraId="11CF6CA7" w14:textId="77777777" w:rsidR="00164C97" w:rsidRDefault="00164C97">
      <w:pPr>
        <w:spacing w:after="0" w:line="324" w:lineRule="auto"/>
        <w:ind w:left="880" w:hanging="440"/>
        <w:jc w:val="center"/>
        <w:rPr>
          <w:rFonts w:ascii="Times New Roman" w:eastAsia="Times New Roman" w:hAnsi="Times New Roman" w:cs="Times New Roman"/>
          <w:sz w:val="24"/>
          <w:szCs w:val="24"/>
          <w:highlight w:val="white"/>
        </w:rPr>
      </w:pPr>
    </w:p>
    <w:p w14:paraId="5D87F565" w14:textId="77777777" w:rsidR="00164C97" w:rsidRDefault="00164C97">
      <w:pPr>
        <w:spacing w:after="0" w:line="324" w:lineRule="auto"/>
        <w:ind w:left="880" w:hanging="440"/>
        <w:jc w:val="center"/>
        <w:rPr>
          <w:rFonts w:ascii="Times New Roman" w:eastAsia="Times New Roman" w:hAnsi="Times New Roman" w:cs="Times New Roman"/>
          <w:sz w:val="24"/>
          <w:szCs w:val="24"/>
          <w:highlight w:val="white"/>
        </w:rPr>
      </w:pPr>
    </w:p>
    <w:p w14:paraId="43DDFC68" w14:textId="77777777" w:rsidR="00164C97" w:rsidRDefault="00164C97">
      <w:pPr>
        <w:spacing w:after="0" w:line="324" w:lineRule="auto"/>
        <w:ind w:left="880" w:hanging="440"/>
        <w:jc w:val="center"/>
        <w:rPr>
          <w:rFonts w:ascii="Times New Roman" w:eastAsia="Times New Roman" w:hAnsi="Times New Roman" w:cs="Times New Roman"/>
          <w:sz w:val="24"/>
          <w:szCs w:val="24"/>
          <w:highlight w:val="white"/>
        </w:rPr>
      </w:pPr>
    </w:p>
    <w:p w14:paraId="3628FE05" w14:textId="77777777" w:rsidR="00164C97" w:rsidRDefault="00164C97">
      <w:pPr>
        <w:spacing w:after="0" w:line="324" w:lineRule="auto"/>
        <w:ind w:left="880" w:hanging="440"/>
        <w:jc w:val="center"/>
        <w:rPr>
          <w:rFonts w:ascii="Times New Roman" w:eastAsia="Times New Roman" w:hAnsi="Times New Roman" w:cs="Times New Roman"/>
          <w:sz w:val="24"/>
          <w:szCs w:val="24"/>
          <w:highlight w:val="white"/>
        </w:rPr>
      </w:pPr>
    </w:p>
    <w:p w14:paraId="5DA5D04B" w14:textId="77777777" w:rsidR="00164C97" w:rsidRDefault="00164C97">
      <w:pPr>
        <w:spacing w:after="0" w:line="324" w:lineRule="auto"/>
        <w:ind w:left="880" w:hanging="440"/>
        <w:jc w:val="center"/>
        <w:rPr>
          <w:rFonts w:ascii="Times New Roman" w:eastAsia="Times New Roman" w:hAnsi="Times New Roman" w:cs="Times New Roman"/>
          <w:sz w:val="24"/>
          <w:szCs w:val="24"/>
          <w:highlight w:val="white"/>
        </w:rPr>
      </w:pPr>
    </w:p>
    <w:p w14:paraId="3D34BC37" w14:textId="77777777" w:rsidR="00164C97" w:rsidRDefault="00164C97">
      <w:pPr>
        <w:spacing w:after="0" w:line="324" w:lineRule="auto"/>
        <w:ind w:left="880" w:hanging="440"/>
        <w:jc w:val="center"/>
        <w:rPr>
          <w:rFonts w:ascii="Times New Roman" w:eastAsia="Times New Roman" w:hAnsi="Times New Roman" w:cs="Times New Roman"/>
          <w:sz w:val="24"/>
          <w:szCs w:val="24"/>
          <w:highlight w:val="white"/>
        </w:rPr>
      </w:pPr>
    </w:p>
    <w:p w14:paraId="2B256432" w14:textId="77777777" w:rsidR="00164C97" w:rsidRDefault="00164C97">
      <w:pPr>
        <w:spacing w:after="0" w:line="324" w:lineRule="auto"/>
        <w:ind w:left="880" w:hanging="440"/>
        <w:jc w:val="center"/>
        <w:rPr>
          <w:rFonts w:ascii="Times New Roman" w:eastAsia="Times New Roman" w:hAnsi="Times New Roman" w:cs="Times New Roman"/>
          <w:sz w:val="24"/>
          <w:szCs w:val="24"/>
          <w:highlight w:val="white"/>
        </w:rPr>
      </w:pPr>
    </w:p>
    <w:p w14:paraId="5481A050" w14:textId="77777777" w:rsidR="00164C97" w:rsidRDefault="00164C97">
      <w:pPr>
        <w:spacing w:after="0" w:line="324" w:lineRule="auto"/>
        <w:ind w:left="880" w:hanging="440"/>
        <w:jc w:val="center"/>
        <w:rPr>
          <w:rFonts w:ascii="Times New Roman" w:eastAsia="Times New Roman" w:hAnsi="Times New Roman" w:cs="Times New Roman"/>
          <w:sz w:val="24"/>
          <w:szCs w:val="24"/>
          <w:highlight w:val="white"/>
        </w:rPr>
      </w:pPr>
    </w:p>
    <w:p w14:paraId="0BF00837" w14:textId="77777777" w:rsidR="00164C97" w:rsidRDefault="00164C97">
      <w:pPr>
        <w:spacing w:after="0" w:line="324" w:lineRule="auto"/>
        <w:ind w:left="880" w:hanging="440"/>
        <w:jc w:val="center"/>
        <w:rPr>
          <w:rFonts w:ascii="Times New Roman" w:eastAsia="Times New Roman" w:hAnsi="Times New Roman" w:cs="Times New Roman"/>
          <w:sz w:val="24"/>
          <w:szCs w:val="24"/>
          <w:highlight w:val="white"/>
        </w:rPr>
      </w:pPr>
    </w:p>
    <w:p w14:paraId="1277CFB8" w14:textId="77777777" w:rsidR="00164C97" w:rsidRDefault="00164C97">
      <w:pPr>
        <w:spacing w:after="0" w:line="324" w:lineRule="auto"/>
        <w:ind w:left="880" w:hanging="440"/>
        <w:jc w:val="center"/>
        <w:rPr>
          <w:rFonts w:ascii="Times New Roman" w:eastAsia="Times New Roman" w:hAnsi="Times New Roman" w:cs="Times New Roman"/>
          <w:sz w:val="24"/>
          <w:szCs w:val="24"/>
          <w:highlight w:val="white"/>
        </w:rPr>
      </w:pPr>
    </w:p>
    <w:p w14:paraId="19687FFE" w14:textId="77777777" w:rsidR="00164C97" w:rsidRDefault="00164C97">
      <w:pPr>
        <w:spacing w:after="0" w:line="324" w:lineRule="auto"/>
        <w:ind w:left="880" w:hanging="440"/>
        <w:jc w:val="center"/>
        <w:rPr>
          <w:rFonts w:ascii="Times New Roman" w:eastAsia="Times New Roman" w:hAnsi="Times New Roman" w:cs="Times New Roman"/>
          <w:sz w:val="24"/>
          <w:szCs w:val="24"/>
          <w:highlight w:val="white"/>
        </w:rPr>
      </w:pPr>
    </w:p>
    <w:p w14:paraId="5902E4F3" w14:textId="77777777" w:rsidR="00164C97" w:rsidRDefault="00164C97">
      <w:pPr>
        <w:spacing w:after="0" w:line="324" w:lineRule="auto"/>
        <w:ind w:left="880" w:hanging="440"/>
        <w:jc w:val="center"/>
        <w:rPr>
          <w:rFonts w:ascii="Times New Roman" w:eastAsia="Times New Roman" w:hAnsi="Times New Roman" w:cs="Times New Roman"/>
          <w:sz w:val="24"/>
          <w:szCs w:val="24"/>
          <w:highlight w:val="white"/>
        </w:rPr>
      </w:pPr>
    </w:p>
    <w:p w14:paraId="5F162886" w14:textId="77777777" w:rsidR="00164C97" w:rsidRDefault="00164C97">
      <w:pPr>
        <w:spacing w:after="0" w:line="324" w:lineRule="auto"/>
        <w:ind w:left="880" w:hanging="440"/>
        <w:jc w:val="center"/>
        <w:rPr>
          <w:rFonts w:ascii="Times New Roman" w:eastAsia="Times New Roman" w:hAnsi="Times New Roman" w:cs="Times New Roman"/>
          <w:sz w:val="24"/>
          <w:szCs w:val="24"/>
          <w:highlight w:val="white"/>
        </w:rPr>
      </w:pPr>
    </w:p>
    <w:p w14:paraId="701D8C3F" w14:textId="77777777" w:rsidR="00164C97" w:rsidRDefault="00164C97">
      <w:pPr>
        <w:spacing w:after="0" w:line="324" w:lineRule="auto"/>
        <w:ind w:left="880" w:hanging="440"/>
        <w:jc w:val="center"/>
        <w:rPr>
          <w:rFonts w:ascii="Times New Roman" w:eastAsia="Times New Roman" w:hAnsi="Times New Roman" w:cs="Times New Roman"/>
          <w:sz w:val="24"/>
          <w:szCs w:val="24"/>
          <w:highlight w:val="white"/>
        </w:rPr>
      </w:pPr>
    </w:p>
    <w:p w14:paraId="389A387C" w14:textId="77777777" w:rsidR="00164C97" w:rsidRDefault="00164C97">
      <w:pPr>
        <w:spacing w:after="0" w:line="324" w:lineRule="auto"/>
        <w:ind w:left="880" w:hanging="440"/>
        <w:jc w:val="center"/>
        <w:rPr>
          <w:rFonts w:ascii="Times New Roman" w:eastAsia="Times New Roman" w:hAnsi="Times New Roman" w:cs="Times New Roman"/>
          <w:sz w:val="24"/>
          <w:szCs w:val="24"/>
          <w:highlight w:val="white"/>
        </w:rPr>
      </w:pPr>
    </w:p>
    <w:p w14:paraId="0F75C098" w14:textId="77777777" w:rsidR="00164C97" w:rsidRDefault="00164C97">
      <w:pPr>
        <w:spacing w:after="0" w:line="324" w:lineRule="auto"/>
        <w:ind w:left="880" w:hanging="440"/>
        <w:jc w:val="center"/>
        <w:rPr>
          <w:rFonts w:ascii="Times New Roman" w:eastAsia="Times New Roman" w:hAnsi="Times New Roman" w:cs="Times New Roman"/>
          <w:sz w:val="24"/>
          <w:szCs w:val="24"/>
          <w:highlight w:val="white"/>
        </w:rPr>
      </w:pPr>
    </w:p>
    <w:p w14:paraId="336A4F00" w14:textId="77777777" w:rsidR="00164C97" w:rsidRDefault="00164C97">
      <w:pPr>
        <w:spacing w:after="0" w:line="324" w:lineRule="auto"/>
        <w:ind w:left="880" w:hanging="440"/>
        <w:jc w:val="center"/>
        <w:rPr>
          <w:rFonts w:ascii="Times New Roman" w:eastAsia="Times New Roman" w:hAnsi="Times New Roman" w:cs="Times New Roman"/>
          <w:sz w:val="24"/>
          <w:szCs w:val="24"/>
          <w:highlight w:val="white"/>
        </w:rPr>
      </w:pPr>
    </w:p>
    <w:p w14:paraId="5ADC5FAA" w14:textId="77777777" w:rsidR="00E736B6" w:rsidRDefault="00E736B6">
      <w:pPr>
        <w:spacing w:after="0" w:line="324" w:lineRule="auto"/>
        <w:ind w:left="880" w:hanging="440"/>
        <w:jc w:val="center"/>
        <w:rPr>
          <w:rFonts w:ascii="Times New Roman" w:eastAsia="Times New Roman" w:hAnsi="Times New Roman" w:cs="Times New Roman"/>
          <w:sz w:val="24"/>
          <w:szCs w:val="24"/>
          <w:highlight w:val="white"/>
        </w:rPr>
      </w:pPr>
    </w:p>
    <w:p w14:paraId="1659F16A" w14:textId="77777777" w:rsidR="00E736B6" w:rsidRDefault="00E736B6">
      <w:pPr>
        <w:spacing w:after="0" w:line="324" w:lineRule="auto"/>
        <w:ind w:left="880" w:hanging="440"/>
        <w:jc w:val="center"/>
        <w:rPr>
          <w:rFonts w:ascii="Times New Roman" w:eastAsia="Times New Roman" w:hAnsi="Times New Roman" w:cs="Times New Roman"/>
          <w:sz w:val="24"/>
          <w:szCs w:val="24"/>
          <w:highlight w:val="white"/>
        </w:rPr>
      </w:pPr>
    </w:p>
    <w:p w14:paraId="78882953" w14:textId="77777777" w:rsidR="00E736B6" w:rsidRDefault="00E736B6">
      <w:pPr>
        <w:spacing w:after="0" w:line="324" w:lineRule="auto"/>
        <w:ind w:left="880" w:hanging="440"/>
        <w:jc w:val="center"/>
        <w:rPr>
          <w:rFonts w:ascii="Times New Roman" w:eastAsia="Times New Roman" w:hAnsi="Times New Roman" w:cs="Times New Roman"/>
          <w:sz w:val="24"/>
          <w:szCs w:val="24"/>
          <w:highlight w:val="white"/>
        </w:rPr>
      </w:pPr>
    </w:p>
    <w:p w14:paraId="775995EE" w14:textId="77777777" w:rsidR="00E736B6" w:rsidRDefault="00E736B6">
      <w:pPr>
        <w:spacing w:after="0" w:line="324" w:lineRule="auto"/>
        <w:ind w:left="880" w:hanging="440"/>
        <w:jc w:val="center"/>
        <w:rPr>
          <w:rFonts w:ascii="Times New Roman" w:eastAsia="Times New Roman" w:hAnsi="Times New Roman" w:cs="Times New Roman"/>
          <w:sz w:val="24"/>
          <w:szCs w:val="24"/>
          <w:highlight w:val="white"/>
        </w:rPr>
      </w:pPr>
    </w:p>
    <w:p w14:paraId="1C2D1105" w14:textId="77777777" w:rsidR="00E736B6" w:rsidRDefault="00E736B6">
      <w:pPr>
        <w:spacing w:after="0" w:line="324" w:lineRule="auto"/>
        <w:ind w:left="880" w:hanging="440"/>
        <w:jc w:val="center"/>
        <w:rPr>
          <w:rFonts w:ascii="Times New Roman" w:eastAsia="Times New Roman" w:hAnsi="Times New Roman" w:cs="Times New Roman"/>
          <w:sz w:val="24"/>
          <w:szCs w:val="24"/>
          <w:highlight w:val="white"/>
        </w:rPr>
      </w:pPr>
    </w:p>
    <w:p w14:paraId="10658D4B" w14:textId="77777777" w:rsidR="00164C97" w:rsidRDefault="00164C97">
      <w:pPr>
        <w:spacing w:after="0" w:line="324" w:lineRule="auto"/>
        <w:ind w:left="880" w:hanging="440"/>
        <w:jc w:val="center"/>
        <w:rPr>
          <w:rFonts w:ascii="Times New Roman" w:eastAsia="Times New Roman" w:hAnsi="Times New Roman" w:cs="Times New Roman"/>
          <w:sz w:val="24"/>
          <w:szCs w:val="24"/>
          <w:highlight w:val="white"/>
        </w:rPr>
      </w:pPr>
    </w:p>
    <w:p w14:paraId="22EA2501" w14:textId="77777777" w:rsidR="00164C97" w:rsidRDefault="00164C97">
      <w:pPr>
        <w:spacing w:after="0" w:line="324" w:lineRule="auto"/>
        <w:ind w:left="880" w:hanging="440"/>
        <w:jc w:val="center"/>
        <w:rPr>
          <w:rFonts w:ascii="Times New Roman" w:eastAsia="Times New Roman" w:hAnsi="Times New Roman" w:cs="Times New Roman"/>
          <w:sz w:val="24"/>
          <w:szCs w:val="24"/>
          <w:highlight w:val="white"/>
        </w:rPr>
      </w:pPr>
    </w:p>
    <w:p w14:paraId="0B9A5808" w14:textId="77777777" w:rsidR="00164C97" w:rsidRDefault="00000000">
      <w:pPr>
        <w:spacing w:after="0" w:line="324" w:lineRule="auto"/>
        <w:ind w:left="880" w:hanging="440"/>
        <w:jc w:val="center"/>
        <w:rPr>
          <w:rFonts w:ascii="Times New Roman" w:eastAsia="Times New Roman" w:hAnsi="Times New Roman" w:cs="Times New Roman"/>
          <w:b/>
          <w:bCs/>
          <w:color w:val="7A0808"/>
          <w:sz w:val="24"/>
          <w:szCs w:val="24"/>
          <w:highlight w:val="white"/>
        </w:rPr>
      </w:pPr>
      <w:r>
        <w:rPr>
          <w:rFonts w:ascii="Times New Roman" w:eastAsia="Times New Roman" w:hAnsi="Times New Roman" w:cs="Times New Roman"/>
          <w:b/>
          <w:bCs/>
          <w:color w:val="7A0808"/>
          <w:sz w:val="24"/>
          <w:szCs w:val="24"/>
          <w:highlight w:val="white"/>
        </w:rPr>
        <w:lastRenderedPageBreak/>
        <w:t>Bibliographie</w:t>
      </w:r>
    </w:p>
    <w:p w14:paraId="3B2FD504" w14:textId="77777777" w:rsidR="00164C97" w:rsidRDefault="00164C97">
      <w:pPr>
        <w:spacing w:after="0" w:line="324" w:lineRule="auto"/>
        <w:ind w:left="880" w:hanging="440"/>
        <w:rPr>
          <w:rFonts w:ascii="Times New Roman" w:eastAsia="Times New Roman" w:hAnsi="Times New Roman" w:cs="Times New Roman"/>
          <w:sz w:val="24"/>
          <w:szCs w:val="24"/>
          <w:highlight w:val="white"/>
        </w:rPr>
      </w:pPr>
    </w:p>
    <w:p w14:paraId="350BD771" w14:textId="77777777" w:rsidR="00164C97" w:rsidRDefault="00000000">
      <w:pPr>
        <w:spacing w:after="220" w:line="324" w:lineRule="auto"/>
        <w:ind w:left="880" w:hanging="44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Albaugh, Ericka, Linda Cardinal, et Rémi Léger, éd. 2024. « Introduction: Theorizing Continuity and Change in States’ Language Policy ». Dans </w:t>
      </w:r>
      <w:r>
        <w:rPr>
          <w:rFonts w:ascii="Times New Roman" w:eastAsia="Times New Roman" w:hAnsi="Times New Roman" w:cs="Times New Roman"/>
          <w:i/>
          <w:iCs/>
          <w:sz w:val="24"/>
          <w:szCs w:val="24"/>
          <w:highlight w:val="white"/>
        </w:rPr>
        <w:t>States of Language Policy: Theorizing Continuity and Change</w:t>
      </w:r>
      <w:r>
        <w:rPr>
          <w:rFonts w:ascii="Times New Roman" w:eastAsia="Times New Roman" w:hAnsi="Times New Roman" w:cs="Times New Roman"/>
          <w:sz w:val="24"/>
          <w:szCs w:val="24"/>
          <w:highlight w:val="white"/>
        </w:rPr>
        <w:t>. Cambridge University Press.</w:t>
      </w:r>
      <w:hyperlink r:id="rId9">
        <w:r>
          <w:rPr>
            <w:rFonts w:ascii="Times New Roman" w:eastAsia="Times New Roman" w:hAnsi="Times New Roman" w:cs="Times New Roman"/>
            <w:sz w:val="24"/>
            <w:szCs w:val="24"/>
            <w:highlight w:val="white"/>
          </w:rPr>
          <w:t xml:space="preserve"> </w:t>
        </w:r>
      </w:hyperlink>
      <w:hyperlink r:id="rId10">
        <w:r>
          <w:rPr>
            <w:rFonts w:ascii="Times New Roman" w:eastAsia="Times New Roman" w:hAnsi="Times New Roman" w:cs="Times New Roman"/>
            <w:color w:val="1155CC"/>
            <w:sz w:val="24"/>
            <w:szCs w:val="24"/>
            <w:highlight w:val="white"/>
            <w:u w:val="single"/>
          </w:rPr>
          <w:t>https://doi.org/10.1017/9781009264747.001</w:t>
        </w:r>
      </w:hyperlink>
      <w:r>
        <w:rPr>
          <w:rFonts w:ascii="Times New Roman" w:eastAsia="Times New Roman" w:hAnsi="Times New Roman" w:cs="Times New Roman"/>
          <w:sz w:val="24"/>
          <w:szCs w:val="24"/>
          <w:highlight w:val="white"/>
        </w:rPr>
        <w:t>.</w:t>
      </w:r>
    </w:p>
    <w:p w14:paraId="2254CD7D" w14:textId="77777777" w:rsidR="00164C97" w:rsidRDefault="00000000">
      <w:pPr>
        <w:spacing w:after="220" w:line="324" w:lineRule="auto"/>
        <w:ind w:left="880" w:hanging="44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Cardinal, Linda, et Selma Sonntag. 2015. « Traditions étatiques et régimes linguistiques : comment et pourquoi s’opèrent les choix de politiques linguistiques ? » Science Politique. </w:t>
      </w:r>
      <w:r>
        <w:rPr>
          <w:rFonts w:ascii="Times New Roman" w:eastAsia="Times New Roman" w:hAnsi="Times New Roman" w:cs="Times New Roman"/>
          <w:i/>
          <w:iCs/>
          <w:sz w:val="24"/>
          <w:szCs w:val="24"/>
          <w:highlight w:val="white"/>
        </w:rPr>
        <w:t>Revue internationale de politique comparée</w:t>
      </w:r>
      <w:r>
        <w:rPr>
          <w:rFonts w:ascii="Times New Roman" w:eastAsia="Times New Roman" w:hAnsi="Times New Roman" w:cs="Times New Roman"/>
          <w:sz w:val="24"/>
          <w:szCs w:val="24"/>
          <w:highlight w:val="white"/>
        </w:rPr>
        <w:t xml:space="preserve"> 22 (1): 115‑31.</w:t>
      </w:r>
      <w:hyperlink r:id="rId11">
        <w:r>
          <w:rPr>
            <w:rFonts w:ascii="Times New Roman" w:eastAsia="Times New Roman" w:hAnsi="Times New Roman" w:cs="Times New Roman"/>
            <w:sz w:val="24"/>
            <w:szCs w:val="24"/>
            <w:highlight w:val="white"/>
          </w:rPr>
          <w:t xml:space="preserve"> </w:t>
        </w:r>
      </w:hyperlink>
      <w:hyperlink r:id="rId12">
        <w:r>
          <w:rPr>
            <w:rFonts w:ascii="Times New Roman" w:eastAsia="Times New Roman" w:hAnsi="Times New Roman" w:cs="Times New Roman"/>
            <w:color w:val="1155CC"/>
            <w:sz w:val="24"/>
            <w:szCs w:val="24"/>
            <w:highlight w:val="white"/>
            <w:u w:val="single"/>
          </w:rPr>
          <w:t>https://doi.org/10.3917/ripc.221.0115</w:t>
        </w:r>
      </w:hyperlink>
      <w:r>
        <w:rPr>
          <w:rFonts w:ascii="Times New Roman" w:eastAsia="Times New Roman" w:hAnsi="Times New Roman" w:cs="Times New Roman"/>
          <w:sz w:val="24"/>
          <w:szCs w:val="24"/>
          <w:highlight w:val="white"/>
        </w:rPr>
        <w:t>.</w:t>
      </w:r>
    </w:p>
    <w:p w14:paraId="2A5BFA2C" w14:textId="77777777" w:rsidR="00164C97" w:rsidRDefault="00000000">
      <w:pPr>
        <w:spacing w:after="220" w:line="324" w:lineRule="auto"/>
        <w:ind w:left="880" w:hanging="44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Chiblow, Susan, et Paul J. Meighan. 2021. « Language is land, land is language: The importance of Indigenous languages ». </w:t>
      </w:r>
      <w:r>
        <w:rPr>
          <w:rFonts w:ascii="Times New Roman" w:eastAsia="Times New Roman" w:hAnsi="Times New Roman" w:cs="Times New Roman"/>
          <w:i/>
          <w:iCs/>
          <w:sz w:val="24"/>
          <w:szCs w:val="24"/>
          <w:highlight w:val="white"/>
        </w:rPr>
        <w:t>Human Geography</w:t>
      </w:r>
      <w:r>
        <w:rPr>
          <w:rFonts w:ascii="Times New Roman" w:eastAsia="Times New Roman" w:hAnsi="Times New Roman" w:cs="Times New Roman"/>
          <w:sz w:val="24"/>
          <w:szCs w:val="24"/>
          <w:highlight w:val="white"/>
        </w:rPr>
        <w:t xml:space="preserve"> 15 (juin): 194277862110228.</w:t>
      </w:r>
      <w:hyperlink r:id="rId13">
        <w:r>
          <w:rPr>
            <w:rFonts w:ascii="Times New Roman" w:eastAsia="Times New Roman" w:hAnsi="Times New Roman" w:cs="Times New Roman"/>
            <w:sz w:val="24"/>
            <w:szCs w:val="24"/>
            <w:highlight w:val="white"/>
          </w:rPr>
          <w:t xml:space="preserve"> </w:t>
        </w:r>
      </w:hyperlink>
      <w:hyperlink r:id="rId14">
        <w:r>
          <w:rPr>
            <w:rFonts w:ascii="Times New Roman" w:eastAsia="Times New Roman" w:hAnsi="Times New Roman" w:cs="Times New Roman"/>
            <w:color w:val="1155CC"/>
            <w:sz w:val="24"/>
            <w:szCs w:val="24"/>
            <w:highlight w:val="white"/>
            <w:u w:val="single"/>
          </w:rPr>
          <w:t>https://doi.org/10.1177/19427786211022899</w:t>
        </w:r>
      </w:hyperlink>
      <w:r>
        <w:rPr>
          <w:rFonts w:ascii="Times New Roman" w:eastAsia="Times New Roman" w:hAnsi="Times New Roman" w:cs="Times New Roman"/>
          <w:sz w:val="24"/>
          <w:szCs w:val="24"/>
          <w:highlight w:val="white"/>
        </w:rPr>
        <w:t>.</w:t>
      </w:r>
    </w:p>
    <w:p w14:paraId="25992195" w14:textId="77777777" w:rsidR="00164C97" w:rsidRDefault="00000000">
      <w:pPr>
        <w:spacing w:after="220" w:line="324" w:lineRule="auto"/>
        <w:ind w:left="880" w:hanging="44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Commission de vérité et réconciliation du Canada. 2015. </w:t>
      </w:r>
      <w:r>
        <w:rPr>
          <w:rFonts w:ascii="Times New Roman" w:eastAsia="Times New Roman" w:hAnsi="Times New Roman" w:cs="Times New Roman"/>
          <w:i/>
          <w:iCs/>
          <w:sz w:val="24"/>
          <w:szCs w:val="24"/>
          <w:highlight w:val="white"/>
        </w:rPr>
        <w:t>Commission de vérité et réconciliation du Canada : Appels à l’action</w:t>
      </w:r>
      <w:r>
        <w:rPr>
          <w:rFonts w:ascii="Times New Roman" w:eastAsia="Times New Roman" w:hAnsi="Times New Roman" w:cs="Times New Roman"/>
          <w:sz w:val="24"/>
          <w:szCs w:val="24"/>
          <w:highlight w:val="white"/>
        </w:rPr>
        <w:t>.</w:t>
      </w:r>
      <w:hyperlink r:id="rId15">
        <w:r>
          <w:rPr>
            <w:rFonts w:ascii="Times New Roman" w:eastAsia="Times New Roman" w:hAnsi="Times New Roman" w:cs="Times New Roman"/>
            <w:sz w:val="24"/>
            <w:szCs w:val="24"/>
            <w:highlight w:val="white"/>
          </w:rPr>
          <w:t xml:space="preserve"> </w:t>
        </w:r>
      </w:hyperlink>
      <w:hyperlink r:id="rId16">
        <w:r>
          <w:rPr>
            <w:rFonts w:ascii="Times New Roman" w:eastAsia="Times New Roman" w:hAnsi="Times New Roman" w:cs="Times New Roman"/>
            <w:color w:val="1155CC"/>
            <w:sz w:val="24"/>
            <w:szCs w:val="24"/>
            <w:highlight w:val="white"/>
            <w:u w:val="single"/>
          </w:rPr>
          <w:t>https://nctr.ca/wp-content/uploads/2021/04/4-Appels_a_l-Action_French.pdf</w:t>
        </w:r>
      </w:hyperlink>
      <w:r>
        <w:rPr>
          <w:rFonts w:ascii="Times New Roman" w:eastAsia="Times New Roman" w:hAnsi="Times New Roman" w:cs="Times New Roman"/>
          <w:sz w:val="24"/>
          <w:szCs w:val="24"/>
          <w:highlight w:val="white"/>
        </w:rPr>
        <w:t>.</w:t>
      </w:r>
    </w:p>
    <w:p w14:paraId="7EAA226C" w14:textId="77777777" w:rsidR="00164C97" w:rsidRDefault="00000000">
      <w:pPr>
        <w:spacing w:after="220" w:line="324" w:lineRule="auto"/>
        <w:ind w:left="880" w:hanging="44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Drapeau, Lynn, et Jean-Claude Corbeil. 1992. « Les langues autochtones dans la perspective de l’aménagement linguistique ». Dans </w:t>
      </w:r>
      <w:r>
        <w:rPr>
          <w:rFonts w:ascii="Times New Roman" w:eastAsia="Times New Roman" w:hAnsi="Times New Roman" w:cs="Times New Roman"/>
          <w:i/>
          <w:iCs/>
          <w:sz w:val="24"/>
          <w:szCs w:val="24"/>
          <w:highlight w:val="white"/>
        </w:rPr>
        <w:t>Les langues autochtones du Québec</w:t>
      </w:r>
      <w:r>
        <w:rPr>
          <w:rFonts w:ascii="Times New Roman" w:eastAsia="Times New Roman" w:hAnsi="Times New Roman" w:cs="Times New Roman"/>
          <w:sz w:val="24"/>
          <w:szCs w:val="24"/>
          <w:highlight w:val="white"/>
        </w:rPr>
        <w:t>, édité par Jacques Maurais, vol. 35. Les Publications du Québec.</w:t>
      </w:r>
      <w:hyperlink r:id="rId17">
        <w:r>
          <w:rPr>
            <w:rFonts w:ascii="Times New Roman" w:eastAsia="Times New Roman" w:hAnsi="Times New Roman" w:cs="Times New Roman"/>
            <w:sz w:val="24"/>
            <w:szCs w:val="24"/>
            <w:highlight w:val="white"/>
          </w:rPr>
          <w:t xml:space="preserve"> </w:t>
        </w:r>
      </w:hyperlink>
      <w:hyperlink r:id="rId18">
        <w:r>
          <w:rPr>
            <w:rFonts w:ascii="Times New Roman" w:eastAsia="Times New Roman" w:hAnsi="Times New Roman" w:cs="Times New Roman"/>
            <w:color w:val="1155CC"/>
            <w:sz w:val="24"/>
            <w:szCs w:val="24"/>
            <w:highlight w:val="white"/>
            <w:u w:val="single"/>
          </w:rPr>
          <w:t>https://corbeil.recherche.usherbrooke.ca/document-drapeau-corbeil-1992-a/</w:t>
        </w:r>
      </w:hyperlink>
      <w:r>
        <w:rPr>
          <w:rFonts w:ascii="Times New Roman" w:eastAsia="Times New Roman" w:hAnsi="Times New Roman" w:cs="Times New Roman"/>
          <w:sz w:val="24"/>
          <w:szCs w:val="24"/>
          <w:highlight w:val="white"/>
        </w:rPr>
        <w:t>.</w:t>
      </w:r>
    </w:p>
    <w:p w14:paraId="5FF78C82" w14:textId="77777777" w:rsidR="00164C97" w:rsidRDefault="00000000">
      <w:pPr>
        <w:spacing w:after="220" w:line="324" w:lineRule="auto"/>
        <w:ind w:left="880" w:hanging="44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Forgues, Éric, Anne Robineau, Dominique Pépin-Filion, et Marc-André Bouchard. 2020. « La construction d’espaces francophones comme projet de société en milieu minoritaire ». </w:t>
      </w:r>
      <w:r>
        <w:rPr>
          <w:rFonts w:ascii="Times New Roman" w:eastAsia="Times New Roman" w:hAnsi="Times New Roman" w:cs="Times New Roman"/>
          <w:i/>
          <w:iCs/>
          <w:sz w:val="24"/>
          <w:szCs w:val="24"/>
          <w:highlight w:val="white"/>
        </w:rPr>
        <w:t>Minorités linguistiques et société</w:t>
      </w:r>
      <w:r>
        <w:rPr>
          <w:rFonts w:ascii="Times New Roman" w:eastAsia="Times New Roman" w:hAnsi="Times New Roman" w:cs="Times New Roman"/>
          <w:sz w:val="24"/>
          <w:szCs w:val="24"/>
          <w:highlight w:val="white"/>
        </w:rPr>
        <w:t>, n</w:t>
      </w:r>
      <w:r>
        <w:rPr>
          <w:rFonts w:ascii="Times New Roman" w:eastAsia="Times New Roman" w:hAnsi="Times New Roman" w:cs="Times New Roman"/>
          <w:sz w:val="24"/>
          <w:szCs w:val="24"/>
          <w:highlight w:val="white"/>
          <w:vertAlign w:val="superscript"/>
        </w:rPr>
        <w:t>o</w:t>
      </w:r>
      <w:r>
        <w:rPr>
          <w:rFonts w:ascii="Times New Roman" w:eastAsia="Times New Roman" w:hAnsi="Times New Roman" w:cs="Times New Roman"/>
          <w:sz w:val="24"/>
          <w:szCs w:val="24"/>
          <w:highlight w:val="white"/>
        </w:rPr>
        <w:t xml:space="preserve"> 13: 29‑48.</w:t>
      </w:r>
      <w:hyperlink r:id="rId19">
        <w:r>
          <w:rPr>
            <w:rFonts w:ascii="Times New Roman" w:eastAsia="Times New Roman" w:hAnsi="Times New Roman" w:cs="Times New Roman"/>
            <w:sz w:val="24"/>
            <w:szCs w:val="24"/>
            <w:highlight w:val="white"/>
          </w:rPr>
          <w:t xml:space="preserve"> </w:t>
        </w:r>
      </w:hyperlink>
      <w:hyperlink r:id="rId20">
        <w:r>
          <w:rPr>
            <w:rFonts w:ascii="Times New Roman" w:eastAsia="Times New Roman" w:hAnsi="Times New Roman" w:cs="Times New Roman"/>
            <w:color w:val="1155CC"/>
            <w:sz w:val="24"/>
            <w:szCs w:val="24"/>
            <w:highlight w:val="white"/>
            <w:u w:val="single"/>
          </w:rPr>
          <w:t>https://doi.org/10.7202/1070389ar</w:t>
        </w:r>
      </w:hyperlink>
      <w:r>
        <w:rPr>
          <w:rFonts w:ascii="Times New Roman" w:eastAsia="Times New Roman" w:hAnsi="Times New Roman" w:cs="Times New Roman"/>
          <w:sz w:val="24"/>
          <w:szCs w:val="24"/>
          <w:highlight w:val="white"/>
        </w:rPr>
        <w:t>.</w:t>
      </w:r>
    </w:p>
    <w:p w14:paraId="36D63A0F" w14:textId="77777777" w:rsidR="00164C97" w:rsidRDefault="00000000">
      <w:pPr>
        <w:spacing w:after="220" w:line="324" w:lineRule="auto"/>
        <w:ind w:left="880" w:hanging="44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Houdassine, Ismaël. 2018. « Il ne reste que 170 locuteurs de la langue kutenai au Canada ». Radio-Canada, Radio-Canada.ca, septembre 4.</w:t>
      </w:r>
      <w:hyperlink r:id="rId21">
        <w:r>
          <w:rPr>
            <w:rFonts w:ascii="Times New Roman" w:eastAsia="Times New Roman" w:hAnsi="Times New Roman" w:cs="Times New Roman"/>
            <w:sz w:val="24"/>
            <w:szCs w:val="24"/>
            <w:highlight w:val="white"/>
          </w:rPr>
          <w:t xml:space="preserve"> </w:t>
        </w:r>
      </w:hyperlink>
      <w:hyperlink r:id="rId22">
        <w:r>
          <w:rPr>
            <w:rFonts w:ascii="Times New Roman" w:eastAsia="Times New Roman" w:hAnsi="Times New Roman" w:cs="Times New Roman"/>
            <w:color w:val="1155CC"/>
            <w:sz w:val="24"/>
            <w:szCs w:val="24"/>
            <w:highlight w:val="white"/>
            <w:u w:val="single"/>
          </w:rPr>
          <w:t>https://ici.radio-canada.ca/espaces-autochtones/1121750/disparition-idiome-autochtone-idiome</w:t>
        </w:r>
      </w:hyperlink>
      <w:r>
        <w:rPr>
          <w:rFonts w:ascii="Times New Roman" w:eastAsia="Times New Roman" w:hAnsi="Times New Roman" w:cs="Times New Roman"/>
          <w:sz w:val="24"/>
          <w:szCs w:val="24"/>
          <w:highlight w:val="white"/>
        </w:rPr>
        <w:t>.</w:t>
      </w:r>
    </w:p>
    <w:p w14:paraId="537E1B54" w14:textId="77777777" w:rsidR="00164C97" w:rsidRDefault="00000000">
      <w:pPr>
        <w:spacing w:after="220" w:line="324" w:lineRule="auto"/>
        <w:ind w:left="880" w:hanging="44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Huron, Miranda. 2024. « Indigenous Reconciliation and the Limits of Canada’s Language Regime ». Dans </w:t>
      </w:r>
      <w:r>
        <w:rPr>
          <w:rFonts w:ascii="Times New Roman" w:eastAsia="Times New Roman" w:hAnsi="Times New Roman" w:cs="Times New Roman"/>
          <w:i/>
          <w:iCs/>
          <w:sz w:val="24"/>
          <w:szCs w:val="24"/>
          <w:highlight w:val="white"/>
        </w:rPr>
        <w:t>States of Language Policy: Theorizing Continuity and Change</w:t>
      </w:r>
      <w:r>
        <w:rPr>
          <w:rFonts w:ascii="Times New Roman" w:eastAsia="Times New Roman" w:hAnsi="Times New Roman" w:cs="Times New Roman"/>
          <w:sz w:val="24"/>
          <w:szCs w:val="24"/>
          <w:highlight w:val="white"/>
        </w:rPr>
        <w:t>, édité par Ericka Albaugh, Linda Cardinal, et Rémi Léger. Cambridge University Press.</w:t>
      </w:r>
      <w:hyperlink r:id="rId23">
        <w:r>
          <w:rPr>
            <w:rFonts w:ascii="Times New Roman" w:eastAsia="Times New Roman" w:hAnsi="Times New Roman" w:cs="Times New Roman"/>
            <w:sz w:val="24"/>
            <w:szCs w:val="24"/>
            <w:highlight w:val="white"/>
          </w:rPr>
          <w:t xml:space="preserve"> </w:t>
        </w:r>
      </w:hyperlink>
      <w:hyperlink r:id="rId24">
        <w:r>
          <w:rPr>
            <w:rFonts w:ascii="Times New Roman" w:eastAsia="Times New Roman" w:hAnsi="Times New Roman" w:cs="Times New Roman"/>
            <w:color w:val="1155CC"/>
            <w:sz w:val="24"/>
            <w:szCs w:val="24"/>
            <w:highlight w:val="white"/>
            <w:u w:val="single"/>
          </w:rPr>
          <w:t>https://doi.org/10.1017/9781009264747.015</w:t>
        </w:r>
      </w:hyperlink>
      <w:r>
        <w:rPr>
          <w:rFonts w:ascii="Times New Roman" w:eastAsia="Times New Roman" w:hAnsi="Times New Roman" w:cs="Times New Roman"/>
          <w:sz w:val="24"/>
          <w:szCs w:val="24"/>
          <w:highlight w:val="white"/>
        </w:rPr>
        <w:t>.</w:t>
      </w:r>
    </w:p>
    <w:p w14:paraId="27EB431A" w14:textId="77777777" w:rsidR="00164C97" w:rsidRDefault="00000000">
      <w:pPr>
        <w:spacing w:after="220" w:line="324" w:lineRule="auto"/>
        <w:ind w:left="880" w:hanging="44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Laponce, Jean. 2001. « Retour À Babel ». </w:t>
      </w:r>
      <w:r>
        <w:rPr>
          <w:rFonts w:ascii="Times New Roman" w:eastAsia="Times New Roman" w:hAnsi="Times New Roman" w:cs="Times New Roman"/>
          <w:i/>
          <w:iCs/>
          <w:sz w:val="24"/>
          <w:szCs w:val="24"/>
          <w:highlight w:val="white"/>
        </w:rPr>
        <w:t>Revue française de science politique</w:t>
      </w:r>
      <w:r>
        <w:rPr>
          <w:rFonts w:ascii="Times New Roman" w:eastAsia="Times New Roman" w:hAnsi="Times New Roman" w:cs="Times New Roman"/>
          <w:sz w:val="24"/>
          <w:szCs w:val="24"/>
          <w:highlight w:val="white"/>
        </w:rPr>
        <w:t xml:space="preserve"> 51 (3): 483‑93.</w:t>
      </w:r>
    </w:p>
    <w:p w14:paraId="077A1145" w14:textId="77777777" w:rsidR="00164C97" w:rsidRDefault="00000000">
      <w:pPr>
        <w:spacing w:after="220" w:line="324" w:lineRule="auto"/>
        <w:ind w:left="880" w:hanging="44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Loi sur les langues autochtones, L.C. 2019 23 (2019).</w:t>
      </w:r>
      <w:hyperlink r:id="rId25">
        <w:r>
          <w:rPr>
            <w:rFonts w:ascii="Times New Roman" w:eastAsia="Times New Roman" w:hAnsi="Times New Roman" w:cs="Times New Roman"/>
            <w:sz w:val="24"/>
            <w:szCs w:val="24"/>
            <w:highlight w:val="white"/>
          </w:rPr>
          <w:t xml:space="preserve"> </w:t>
        </w:r>
      </w:hyperlink>
      <w:hyperlink r:id="rId26">
        <w:r>
          <w:rPr>
            <w:rFonts w:ascii="Times New Roman" w:eastAsia="Times New Roman" w:hAnsi="Times New Roman" w:cs="Times New Roman"/>
            <w:color w:val="1155CC"/>
            <w:sz w:val="24"/>
            <w:szCs w:val="24"/>
            <w:highlight w:val="white"/>
            <w:u w:val="single"/>
          </w:rPr>
          <w:t>https://laws-lois.justice.gc.ca/fra/lois/i-7.85/TexteComplet.html</w:t>
        </w:r>
      </w:hyperlink>
      <w:r>
        <w:rPr>
          <w:rFonts w:ascii="Times New Roman" w:eastAsia="Times New Roman" w:hAnsi="Times New Roman" w:cs="Times New Roman"/>
          <w:sz w:val="24"/>
          <w:szCs w:val="24"/>
          <w:highlight w:val="white"/>
        </w:rPr>
        <w:t>.</w:t>
      </w:r>
    </w:p>
    <w:p w14:paraId="70F528DB" w14:textId="77777777" w:rsidR="00164C97" w:rsidRDefault="00000000">
      <w:pPr>
        <w:spacing w:after="220" w:line="324" w:lineRule="auto"/>
        <w:ind w:left="880" w:hanging="44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Statistique Canada. 2025. « Familles de langues autochtones au Canada : nouveaux rapports du Recensement de la population de 2021 ». mars 31.</w:t>
      </w:r>
      <w:hyperlink r:id="rId27">
        <w:r>
          <w:rPr>
            <w:rFonts w:ascii="Times New Roman" w:eastAsia="Times New Roman" w:hAnsi="Times New Roman" w:cs="Times New Roman"/>
            <w:sz w:val="24"/>
            <w:szCs w:val="24"/>
            <w:highlight w:val="white"/>
          </w:rPr>
          <w:t xml:space="preserve"> </w:t>
        </w:r>
      </w:hyperlink>
      <w:hyperlink r:id="rId28">
        <w:r>
          <w:rPr>
            <w:rFonts w:ascii="Times New Roman" w:eastAsia="Times New Roman" w:hAnsi="Times New Roman" w:cs="Times New Roman"/>
            <w:color w:val="1155CC"/>
            <w:sz w:val="24"/>
            <w:szCs w:val="24"/>
            <w:highlight w:val="white"/>
            <w:u w:val="single"/>
          </w:rPr>
          <w:t>https://www150.statcan.gc.ca/n1/daily-quotidien/250331/dq250331a-fra.htm</w:t>
        </w:r>
      </w:hyperlink>
      <w:r>
        <w:rPr>
          <w:rFonts w:ascii="Times New Roman" w:eastAsia="Times New Roman" w:hAnsi="Times New Roman" w:cs="Times New Roman"/>
          <w:sz w:val="24"/>
          <w:szCs w:val="24"/>
          <w:highlight w:val="white"/>
        </w:rPr>
        <w:t>.</w:t>
      </w:r>
    </w:p>
    <w:p w14:paraId="082D3A85" w14:textId="77777777" w:rsidR="00164C97" w:rsidRDefault="00000000">
      <w:pPr>
        <w:spacing w:after="0" w:line="324" w:lineRule="auto"/>
        <w:ind w:left="880" w:hanging="44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Takam, Alain Flaubert. 2013. « Territorialisation Comme Stratégie De Survie Des Langues Autochtones Au Canada ». </w:t>
      </w:r>
      <w:r>
        <w:rPr>
          <w:rFonts w:ascii="Times New Roman" w:eastAsia="Times New Roman" w:hAnsi="Times New Roman" w:cs="Times New Roman"/>
          <w:i/>
          <w:iCs/>
          <w:sz w:val="24"/>
          <w:szCs w:val="24"/>
          <w:highlight w:val="white"/>
        </w:rPr>
        <w:t>The Canadian Journal of Native Studies</w:t>
      </w:r>
      <w:r>
        <w:rPr>
          <w:rFonts w:ascii="Times New Roman" w:eastAsia="Times New Roman" w:hAnsi="Times New Roman" w:cs="Times New Roman"/>
          <w:sz w:val="24"/>
          <w:szCs w:val="24"/>
          <w:highlight w:val="white"/>
        </w:rPr>
        <w:t xml:space="preserve"> (Brandon, Canada) 33 (1): 27‑47.</w:t>
      </w:r>
    </w:p>
    <w:p w14:paraId="4A2AB571" w14:textId="77777777" w:rsidR="00164C97" w:rsidRDefault="00164C97">
      <w:pPr>
        <w:widowControl w:val="0"/>
        <w:spacing w:after="0" w:line="480" w:lineRule="auto"/>
        <w:ind w:left="720" w:hanging="720"/>
        <w:rPr>
          <w:rFonts w:ascii="Times New Roman" w:eastAsia="Times New Roman" w:hAnsi="Times New Roman" w:cs="Times New Roman"/>
          <w:color w:val="467886"/>
          <w:sz w:val="24"/>
          <w:szCs w:val="24"/>
          <w:highlight w:val="white"/>
          <w:u w:val="single"/>
        </w:rPr>
      </w:pPr>
    </w:p>
    <w:p w14:paraId="637F8192" w14:textId="77777777" w:rsidR="00164C97" w:rsidRDefault="00164C97">
      <w:pPr>
        <w:widowControl w:val="0"/>
        <w:spacing w:after="0" w:line="480" w:lineRule="auto"/>
        <w:ind w:left="720" w:hanging="720"/>
        <w:rPr>
          <w:rFonts w:ascii="Times New Roman" w:eastAsia="Times New Roman" w:hAnsi="Times New Roman" w:cs="Times New Roman"/>
          <w:sz w:val="24"/>
          <w:szCs w:val="24"/>
        </w:rPr>
      </w:pPr>
    </w:p>
    <w:p w14:paraId="2D9AAFDB" w14:textId="77777777" w:rsidR="00164C97" w:rsidRDefault="00164C97">
      <w:pPr>
        <w:widowControl w:val="0"/>
        <w:spacing w:after="0" w:line="480" w:lineRule="auto"/>
        <w:ind w:right="255"/>
        <w:rPr>
          <w:rFonts w:ascii="Times New Roman" w:eastAsia="Times New Roman" w:hAnsi="Times New Roman" w:cs="Times New Roman"/>
          <w:sz w:val="24"/>
          <w:szCs w:val="24"/>
        </w:rPr>
      </w:pPr>
    </w:p>
    <w:sectPr w:rsidR="00164C97">
      <w:headerReference w:type="default" r:id="rId29"/>
      <w:footerReference w:type="default" r:id="rId30"/>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92948" w14:textId="77777777" w:rsidR="009C3DD1" w:rsidRDefault="009C3DD1">
      <w:pPr>
        <w:spacing w:after="0" w:line="240" w:lineRule="auto"/>
      </w:pPr>
      <w:r>
        <w:separator/>
      </w:r>
    </w:p>
  </w:endnote>
  <w:endnote w:type="continuationSeparator" w:id="0">
    <w:p w14:paraId="066CFC19" w14:textId="77777777" w:rsidR="009C3DD1" w:rsidRDefault="009C3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panose1 w:val="020B0606030504020204"/>
    <w:charset w:val="00"/>
    <w:family w:val="swiss"/>
    <w:pitch w:val="variable"/>
    <w:sig w:usb0="E00002EF" w:usb1="4000205B" w:usb2="00000028" w:usb3="00000000" w:csb0="0000019F" w:csb1="00000000"/>
    <w:embedRegular r:id="rId1" w:fontKey="{D1192323-ACB7-064A-981E-E8C81332EC60}"/>
    <w:embedItalic r:id="rId2" w:fontKey="{8907E1B5-3E25-2B45-97EC-D9051A2C052B}"/>
  </w:font>
  <w:font w:name="Crimson Text">
    <w:charset w:val="00"/>
    <w:family w:val="auto"/>
    <w:pitch w:val="default"/>
    <w:embedRegular r:id="rId3" w:fontKey="{83298E5D-F166-F342-B804-C18895538711}"/>
    <w:embedBold r:id="rId4" w:fontKey="{C7AFCB3F-A21B-D845-8F86-CDFECB9A7A1B}"/>
    <w:embedItalic r:id="rId5" w:fontKey="{E7FC8603-8E9C-A547-AE62-1586D13811C2}"/>
    <w:embedBoldItalic r:id="rId6" w:fontKey="{24EF2682-C4B8-5B4F-96A3-D508E0E71599}"/>
  </w:font>
  <w:font w:name="Times New Roman">
    <w:panose1 w:val="02020603050405020304"/>
    <w:charset w:val="00"/>
    <w:family w:val="roman"/>
    <w:pitch w:val="variable"/>
    <w:sig w:usb0="E0002EFF" w:usb1="C000785B" w:usb2="00000009" w:usb3="00000000" w:csb0="000001FF" w:csb1="00000000"/>
    <w:embedRegular r:id="rId7" w:fontKey="{D4DE4242-C10B-1446-9EE5-F4005ABC9C57}"/>
    <w:embedBold r:id="rId8" w:fontKey="{8A016728-A877-DB48-A999-B90AB9E687B8}"/>
    <w:embedItalic r:id="rId9" w:fontKey="{BE6A676A-8A6B-6A4C-B47C-7BA59DA7E035}"/>
    <w:embedBoldItalic r:id="rId10" w:fontKey="{2012E086-76A9-4940-AC81-17B670C7E506}"/>
  </w:font>
  <w:font w:name="Calibri">
    <w:panose1 w:val="020F0502020204030204"/>
    <w:charset w:val="00"/>
    <w:family w:val="swiss"/>
    <w:pitch w:val="variable"/>
    <w:sig w:usb0="E0002AFF" w:usb1="C000247B" w:usb2="00000009" w:usb3="00000000" w:csb0="000001FF" w:csb1="00000000"/>
    <w:embedRegular r:id="rId11" w:fontKey="{EA1513C1-BDBF-F147-8257-49F8C99DC3B1}"/>
  </w:font>
  <w:font w:name="Cambria">
    <w:panose1 w:val="02040503050406030204"/>
    <w:charset w:val="00"/>
    <w:family w:val="roman"/>
    <w:pitch w:val="variable"/>
    <w:sig w:usb0="E00002FF" w:usb1="400004FF" w:usb2="00000000" w:usb3="00000000" w:csb0="0000019F" w:csb1="00000000"/>
    <w:embedRegular r:id="rId12" w:fontKey="{552F25A5-1209-624A-B536-091467F62C7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20B0B" w14:textId="77777777" w:rsidR="00164C97" w:rsidRDefault="00000000">
    <w:pPr>
      <w:pBdr>
        <w:top w:val="nil"/>
        <w:left w:val="nil"/>
        <w:bottom w:val="nil"/>
        <w:right w:val="nil"/>
        <w:between w:val="nil"/>
      </w:pBdr>
      <w:tabs>
        <w:tab w:val="center" w:pos="4680"/>
        <w:tab w:val="right" w:pos="9360"/>
      </w:tabs>
      <w:spacing w:after="0" w:line="240" w:lineRule="auto"/>
      <w:jc w:val="right"/>
      <w:rPr>
        <w:rFonts w:ascii="Crimson Text" w:eastAsia="Crimson Text" w:hAnsi="Crimson Text" w:cs="Crimson Text"/>
        <w:color w:val="7A0808"/>
        <w:sz w:val="24"/>
        <w:szCs w:val="24"/>
      </w:rPr>
    </w:pPr>
    <w:r>
      <w:rPr>
        <w:rFonts w:ascii="Crimson Text" w:eastAsia="Crimson Text" w:hAnsi="Crimson Text" w:cs="Crimson Text"/>
        <w:color w:val="7A0808"/>
        <w:sz w:val="24"/>
        <w:szCs w:val="24"/>
      </w:rPr>
      <w:t xml:space="preserve">| </w:t>
    </w:r>
    <w:r>
      <w:rPr>
        <w:rFonts w:ascii="Crimson Text" w:eastAsia="Crimson Text" w:hAnsi="Crimson Text" w:cs="Crimson Text"/>
        <w:color w:val="7A0808"/>
        <w:sz w:val="24"/>
        <w:szCs w:val="24"/>
      </w:rPr>
      <w:fldChar w:fldCharType="begin"/>
    </w:r>
    <w:r>
      <w:rPr>
        <w:rFonts w:ascii="Crimson Text" w:eastAsia="Crimson Text" w:hAnsi="Crimson Text" w:cs="Crimson Text"/>
        <w:color w:val="7A0808"/>
        <w:sz w:val="24"/>
        <w:szCs w:val="24"/>
      </w:rPr>
      <w:instrText>PAGE</w:instrText>
    </w:r>
    <w:r>
      <w:rPr>
        <w:rFonts w:ascii="Crimson Text" w:eastAsia="Crimson Text" w:hAnsi="Crimson Text" w:cs="Crimson Text"/>
        <w:color w:val="7A0808"/>
        <w:sz w:val="24"/>
        <w:szCs w:val="24"/>
      </w:rPr>
      <w:fldChar w:fldCharType="separate"/>
    </w:r>
    <w:r w:rsidR="00E736B6">
      <w:rPr>
        <w:rFonts w:ascii="Crimson Text" w:eastAsia="Crimson Text" w:hAnsi="Crimson Text" w:cs="Crimson Text"/>
        <w:noProof/>
        <w:color w:val="7A0808"/>
        <w:sz w:val="24"/>
        <w:szCs w:val="24"/>
      </w:rPr>
      <w:t>1</w:t>
    </w:r>
    <w:r>
      <w:rPr>
        <w:rFonts w:ascii="Crimson Text" w:eastAsia="Crimson Text" w:hAnsi="Crimson Text" w:cs="Crimson Text"/>
        <w:color w:val="7A0808"/>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AE26E" w14:textId="77777777" w:rsidR="009C3DD1" w:rsidRDefault="009C3DD1">
      <w:pPr>
        <w:spacing w:after="0" w:line="240" w:lineRule="auto"/>
      </w:pPr>
      <w:r>
        <w:separator/>
      </w:r>
    </w:p>
  </w:footnote>
  <w:footnote w:type="continuationSeparator" w:id="0">
    <w:p w14:paraId="1F92A319" w14:textId="77777777" w:rsidR="009C3DD1" w:rsidRDefault="009C3D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4CA3E" w14:textId="77777777" w:rsidR="00164C97" w:rsidRDefault="00000000">
    <w:pPr>
      <w:pBdr>
        <w:top w:val="nil"/>
        <w:left w:val="nil"/>
        <w:bottom w:val="nil"/>
        <w:right w:val="nil"/>
        <w:between w:val="nil"/>
      </w:pBdr>
      <w:tabs>
        <w:tab w:val="center" w:pos="4680"/>
        <w:tab w:val="right" w:pos="9360"/>
      </w:tabs>
      <w:spacing w:after="0" w:line="240" w:lineRule="auto"/>
      <w:rPr>
        <w:rFonts w:ascii="Crimson Text" w:eastAsia="Crimson Text" w:hAnsi="Crimson Text" w:cs="Crimson Text"/>
        <w:color w:val="7A0808"/>
      </w:rPr>
    </w:pPr>
    <w:r>
      <w:rPr>
        <w:rFonts w:ascii="Crimson Text" w:eastAsia="Crimson Text" w:hAnsi="Crimson Text" w:cs="Crimson Text"/>
        <w:color w:val="7A0808"/>
      </w:rPr>
      <w:t>Gadfly Undergraduate Journal of Political Science | 2026</w:t>
    </w:r>
    <w:r>
      <w:rPr>
        <w:rFonts w:ascii="Crimson Text" w:eastAsia="Crimson Text" w:hAnsi="Crimson Text" w:cs="Crimson Text"/>
        <w:color w:val="7A0808"/>
      </w:rPr>
      <w:tab/>
    </w:r>
  </w:p>
  <w:p w14:paraId="4DCF79ED" w14:textId="77777777" w:rsidR="00164C97" w:rsidRDefault="00164C97">
    <w:pPr>
      <w:pBdr>
        <w:top w:val="nil"/>
        <w:left w:val="nil"/>
        <w:bottom w:val="nil"/>
        <w:right w:val="nil"/>
        <w:between w:val="nil"/>
      </w:pBdr>
      <w:tabs>
        <w:tab w:val="center" w:pos="4680"/>
        <w:tab w:val="right" w:pos="9360"/>
      </w:tabs>
      <w:spacing w:after="0" w:line="240" w:lineRule="auto"/>
      <w:rPr>
        <w:rFonts w:ascii="Crimson Text" w:eastAsia="Crimson Text" w:hAnsi="Crimson Text" w:cs="Crimson Text"/>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C97"/>
    <w:rsid w:val="00164C97"/>
    <w:rsid w:val="009C3DD1"/>
    <w:rsid w:val="00DD7A5E"/>
    <w:rsid w:val="00E736B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D21FD8E"/>
  <w15:docId w15:val="{6163119F-745A-334D-A4D5-06BBEA48A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Open Sans"/>
        <w:sz w:val="21"/>
        <w:szCs w:val="21"/>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rFonts w:ascii="Crimson Text" w:eastAsia="Crimson Text" w:hAnsi="Crimson Text" w:cs="Crimson Text"/>
      <w:b/>
      <w:bCs/>
      <w:color w:val="7A0808"/>
      <w:sz w:val="32"/>
      <w:szCs w:val="32"/>
    </w:rPr>
  </w:style>
  <w:style w:type="paragraph" w:styleId="Heading2">
    <w:name w:val="heading 2"/>
    <w:basedOn w:val="Normal"/>
    <w:next w:val="Normal"/>
    <w:uiPriority w:val="9"/>
    <w:semiHidden/>
    <w:unhideWhenUsed/>
    <w:qFormat/>
    <w:pPr>
      <w:keepNext/>
      <w:keepLines/>
      <w:spacing w:before="40"/>
      <w:outlineLvl w:val="1"/>
    </w:pPr>
    <w:rPr>
      <w:rFonts w:ascii="Crimson Text" w:eastAsia="Crimson Text" w:hAnsi="Crimson Text" w:cs="Crimson Text"/>
      <w:b/>
      <w:bCs/>
      <w:color w:val="A0504F"/>
      <w:sz w:val="28"/>
      <w:szCs w:val="28"/>
    </w:rPr>
  </w:style>
  <w:style w:type="paragraph" w:styleId="Heading3">
    <w:name w:val="heading 3"/>
    <w:basedOn w:val="Normal"/>
    <w:next w:val="Normal"/>
    <w:uiPriority w:val="9"/>
    <w:semiHidden/>
    <w:unhideWhenUsed/>
    <w:qFormat/>
    <w:pPr>
      <w:keepNext/>
      <w:keepLines/>
      <w:spacing w:before="40"/>
      <w:outlineLvl w:val="2"/>
    </w:pPr>
    <w:rPr>
      <w:rFonts w:ascii="Crimson Text" w:eastAsia="Crimson Text" w:hAnsi="Crimson Text" w:cs="Crimson Text"/>
      <w:b/>
      <w:bCs/>
      <w:color w:val="7284A8"/>
      <w:sz w:val="28"/>
      <w:szCs w:val="28"/>
    </w:rPr>
  </w:style>
  <w:style w:type="paragraph" w:styleId="Heading4">
    <w:name w:val="heading 4"/>
    <w:basedOn w:val="Normal"/>
    <w:next w:val="Normal"/>
    <w:uiPriority w:val="9"/>
    <w:semiHidden/>
    <w:unhideWhenUsed/>
    <w:qFormat/>
    <w:pPr>
      <w:keepNext/>
      <w:keepLines/>
      <w:spacing w:before="40"/>
      <w:outlineLvl w:val="3"/>
    </w:pPr>
    <w:rPr>
      <w:rFonts w:ascii="Crimson Text" w:eastAsia="Crimson Text" w:hAnsi="Crimson Text" w:cs="Crimson Text"/>
      <w:i/>
      <w:iCs/>
      <w:color w:val="5B0505"/>
      <w:sz w:val="22"/>
      <w:szCs w:val="22"/>
    </w:rPr>
  </w:style>
  <w:style w:type="paragraph" w:styleId="Heading5">
    <w:name w:val="heading 5"/>
    <w:basedOn w:val="Normal"/>
    <w:next w:val="Normal"/>
    <w:uiPriority w:val="9"/>
    <w:semiHidden/>
    <w:unhideWhenUsed/>
    <w:qFormat/>
    <w:pPr>
      <w:keepNext/>
      <w:keepLines/>
      <w:spacing w:before="40"/>
      <w:outlineLvl w:val="4"/>
    </w:pPr>
    <w:rPr>
      <w:rFonts w:ascii="Crimson Text" w:eastAsia="Crimson Text" w:hAnsi="Crimson Text" w:cs="Crimson Text"/>
      <w:color w:val="5B0505"/>
      <w:sz w:val="22"/>
      <w:szCs w:val="22"/>
    </w:rPr>
  </w:style>
  <w:style w:type="paragraph" w:styleId="Heading6">
    <w:name w:val="heading 6"/>
    <w:basedOn w:val="Normal"/>
    <w:next w:val="Normal"/>
    <w:uiPriority w:val="9"/>
    <w:semiHidden/>
    <w:unhideWhenUsed/>
    <w:qFormat/>
    <w:pPr>
      <w:keepNext/>
      <w:keepLines/>
      <w:spacing w:before="40"/>
      <w:outlineLvl w:val="5"/>
    </w:pPr>
    <w:rPr>
      <w:rFonts w:ascii="Crimson Text" w:eastAsia="Crimson Text" w:hAnsi="Crimson Text" w:cs="Crimson Tex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rFonts w:ascii="Crimson Text" w:eastAsia="Crimson Text" w:hAnsi="Crimson Text" w:cs="Crimson Text"/>
      <w:b/>
      <w:bCs/>
      <w:color w:val="7A0808"/>
      <w:sz w:val="56"/>
      <w:szCs w:val="56"/>
    </w:rPr>
  </w:style>
  <w:style w:type="paragraph" w:styleId="Subtitle">
    <w:name w:val="Subtitle"/>
    <w:basedOn w:val="Normal"/>
    <w:next w:val="Normal"/>
    <w:uiPriority w:val="11"/>
    <w:qFormat/>
    <w:pPr>
      <w:spacing w:after="160"/>
      <w:jc w:val="center"/>
    </w:pPr>
    <w:rPr>
      <w:i/>
      <w:iCs/>
      <w:color w:val="A0504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1177/19427786211022899" TargetMode="External"/><Relationship Id="rId18" Type="http://schemas.openxmlformats.org/officeDocument/2006/relationships/hyperlink" Target="https://corbeil.recherche.usherbrooke.ca/document-drapeau-corbeil-1992-a/" TargetMode="External"/><Relationship Id="rId26" Type="http://schemas.openxmlformats.org/officeDocument/2006/relationships/hyperlink" Target="https://laws-lois.justice.gc.ca/fra/lois/i-7.85/TexteComplet.html" TargetMode="External"/><Relationship Id="rId3" Type="http://schemas.openxmlformats.org/officeDocument/2006/relationships/webSettings" Target="webSettings.xml"/><Relationship Id="rId21" Type="http://schemas.openxmlformats.org/officeDocument/2006/relationships/hyperlink" Target="https://ici.radio-canada.ca/espaces-autochtones/1121750/disparition-idiome-autochtone-idiome" TargetMode="External"/><Relationship Id="rId7" Type="http://schemas.openxmlformats.org/officeDocument/2006/relationships/image" Target="media/image1.png"/><Relationship Id="rId12" Type="http://schemas.openxmlformats.org/officeDocument/2006/relationships/hyperlink" Target="https://doi.org/10.3917/ripc.221.0115" TargetMode="External"/><Relationship Id="rId17" Type="http://schemas.openxmlformats.org/officeDocument/2006/relationships/hyperlink" Target="https://corbeil.recherche.usherbrooke.ca/document-drapeau-corbeil-1992-a/" TargetMode="External"/><Relationship Id="rId25" Type="http://schemas.openxmlformats.org/officeDocument/2006/relationships/hyperlink" Target="https://laws-lois.justice.gc.ca/fra/lois/i-7.85/TexteComplet.html" TargetMode="External"/><Relationship Id="rId2" Type="http://schemas.openxmlformats.org/officeDocument/2006/relationships/settings" Target="settings.xml"/><Relationship Id="rId16" Type="http://schemas.openxmlformats.org/officeDocument/2006/relationships/hyperlink" Target="https://nctr.ca/wp-content/uploads/2021/04/4-Appels_a_l-Action_French.pdf" TargetMode="External"/><Relationship Id="rId20" Type="http://schemas.openxmlformats.org/officeDocument/2006/relationships/hyperlink" Target="https://doi.org/10.7202/1070389ar" TargetMode="External"/><Relationship Id="rId29"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s://doi.org/10.3917/ripc.221.0115" TargetMode="External"/><Relationship Id="rId24" Type="http://schemas.openxmlformats.org/officeDocument/2006/relationships/hyperlink" Target="https://doi.org/10.1017/9781009264747.015" TargetMode="External"/><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nctr.ca/wp-content/uploads/2021/04/4-Appels_a_l-Action_French.pdf" TargetMode="External"/><Relationship Id="rId23" Type="http://schemas.openxmlformats.org/officeDocument/2006/relationships/hyperlink" Target="https://doi.org/10.1017/9781009264747.015" TargetMode="External"/><Relationship Id="rId28" Type="http://schemas.openxmlformats.org/officeDocument/2006/relationships/hyperlink" Target="https://www150.statcan.gc.ca/n1/daily-quotidien/250331/dq250331a-fra.htm" TargetMode="External"/><Relationship Id="rId10" Type="http://schemas.openxmlformats.org/officeDocument/2006/relationships/hyperlink" Target="https://doi.org/10.1017/9781009264747.001" TargetMode="External"/><Relationship Id="rId19" Type="http://schemas.openxmlformats.org/officeDocument/2006/relationships/hyperlink" Target="https://doi.org/10.7202/1070389ar" TargetMode="External"/><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doi.org/10.1017/9781009264747.001" TargetMode="External"/><Relationship Id="rId14" Type="http://schemas.openxmlformats.org/officeDocument/2006/relationships/hyperlink" Target="https://doi.org/10.1177/19427786211022899" TargetMode="External"/><Relationship Id="rId22" Type="http://schemas.openxmlformats.org/officeDocument/2006/relationships/hyperlink" Target="https://ici.radio-canada.ca/espaces-autochtones/1121750/disparition-idiome-autochtone-idiome" TargetMode="External"/><Relationship Id="rId27" Type="http://schemas.openxmlformats.org/officeDocument/2006/relationships/hyperlink" Target="https://www150.statcan.gc.ca/n1/daily-quotidien/250331/dq250331a-fra.htm" TargetMode="External"/><Relationship Id="rId30"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5163</Words>
  <Characters>29432</Characters>
  <Application>Microsoft Office Word</Application>
  <DocSecurity>0</DocSecurity>
  <Lines>245</Lines>
  <Paragraphs>69</Paragraphs>
  <ScaleCrop>false</ScaleCrop>
  <Company/>
  <LinksUpToDate>false</LinksUpToDate>
  <CharactersWithSpaces>34526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Lisa Kim</cp:lastModifiedBy>
  <cp:revision>2</cp:revision>
  <dcterms:created xsi:type="dcterms:W3CDTF">2026-01-08T14:24:00Z</dcterms:created>
  <dcterms:modified xsi:type="dcterms:W3CDTF">2026-01-08T14:24:00Z</dcterms:modified>
</cp:coreProperties>
</file>